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94F8" w14:textId="078F6648" w:rsidR="000A37D7" w:rsidRPr="00E22D77" w:rsidRDefault="0040498E" w:rsidP="00F37FB3">
      <w:pPr>
        <w:pStyle w:val="Pagedecouverture"/>
        <w:rPr>
          <w:noProof/>
        </w:rPr>
      </w:pPr>
      <w:bookmarkStart w:id="0" w:name="LW_BM_COVERPAGE"/>
      <w:r>
        <w:rPr>
          <w:noProof/>
        </w:rPr>
        <w:pict w14:anchorId="79D49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7A7F177-A142-4138-B76B-B71C7908C8E6" style="width:455.15pt;height:296.2pt">
            <v:imagedata r:id="rId8" o:title=""/>
          </v:shape>
        </w:pict>
      </w:r>
    </w:p>
    <w:bookmarkEnd w:id="0"/>
    <w:p w14:paraId="1EA1342C" w14:textId="02238637" w:rsidR="00E61246" w:rsidRPr="00E22D77" w:rsidRDefault="00E61246" w:rsidP="00E61246">
      <w:pPr>
        <w:pStyle w:val="Pagedecouverture"/>
        <w:rPr>
          <w:noProof/>
        </w:rPr>
        <w:sectPr w:rsidR="00E61246" w:rsidRPr="00E22D77" w:rsidSect="00A54696">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295B43D8" w14:textId="13006928" w:rsidR="000A37D7" w:rsidRPr="00E22D77" w:rsidRDefault="000A37D7" w:rsidP="000A37D7">
      <w:pPr>
        <w:spacing w:before="360" w:after="0" w:line="240" w:lineRule="auto"/>
        <w:jc w:val="center"/>
        <w:rPr>
          <w:rFonts w:eastAsia="Times New Roman" w:cs="Times New Roman"/>
          <w:b/>
          <w:noProof/>
          <w:szCs w:val="24"/>
        </w:rPr>
      </w:pPr>
      <w:r w:rsidRPr="00E22D77">
        <w:rPr>
          <w:b/>
          <w:noProof/>
        </w:rPr>
        <w:lastRenderedPageBreak/>
        <w:t>BIELA KNIHA</w:t>
      </w:r>
    </w:p>
    <w:p w14:paraId="2D46705D" w14:textId="24168E8F" w:rsidR="000A37D7" w:rsidRPr="00E22D77" w:rsidRDefault="000A37D7" w:rsidP="000A37D7">
      <w:pPr>
        <w:spacing w:before="360" w:after="360" w:line="240" w:lineRule="auto"/>
        <w:jc w:val="center"/>
        <w:rPr>
          <w:rFonts w:eastAsia="Times New Roman" w:cs="Times New Roman"/>
          <w:b/>
          <w:noProof/>
          <w:szCs w:val="24"/>
        </w:rPr>
      </w:pPr>
      <w:bookmarkStart w:id="1" w:name="_Hlk151975410"/>
      <w:r w:rsidRPr="00E22D77">
        <w:rPr>
          <w:b/>
          <w:noProof/>
        </w:rPr>
        <w:t>o kontrolách vývozu</w:t>
      </w:r>
      <w:bookmarkEnd w:id="1"/>
    </w:p>
    <w:p w14:paraId="025170C9" w14:textId="24045803" w:rsidR="000A37D7" w:rsidRPr="00E22D77" w:rsidRDefault="000A37D7" w:rsidP="000A37D7">
      <w:pPr>
        <w:spacing w:before="120" w:after="240" w:line="240" w:lineRule="auto"/>
        <w:jc w:val="center"/>
        <w:rPr>
          <w:rFonts w:eastAsia="Times New Roman" w:cs="Times New Roman"/>
          <w:b/>
          <w:noProof/>
          <w:szCs w:val="24"/>
        </w:rPr>
      </w:pPr>
      <w:r w:rsidRPr="00E22D77">
        <w:rPr>
          <w:b/>
          <w:noProof/>
        </w:rPr>
        <w:t>Obsah</w:t>
      </w:r>
    </w:p>
    <w:sdt>
      <w:sdtPr>
        <w:rPr>
          <w:noProof/>
        </w:rPr>
        <w:id w:val="-917936440"/>
        <w:docPartObj>
          <w:docPartGallery w:val="Table of Contents"/>
          <w:docPartUnique/>
        </w:docPartObj>
      </w:sdtPr>
      <w:sdtEndPr>
        <w:rPr>
          <w:rFonts w:eastAsia="Times New Roman" w:cs="Times New Roman"/>
          <w:bCs/>
          <w:szCs w:val="24"/>
        </w:rPr>
      </w:sdtEndPr>
      <w:sdtContent>
        <w:p w14:paraId="0BD0FED2" w14:textId="77777777" w:rsidR="00E22D77" w:rsidRPr="00E22D77" w:rsidRDefault="00E22D77" w:rsidP="00E22D77">
          <w:pPr>
            <w:pStyle w:val="Obsah1"/>
            <w:rPr>
              <w:noProof/>
            </w:rPr>
          </w:pPr>
        </w:p>
        <w:p w14:paraId="6B354432" w14:textId="047A3C19" w:rsidR="00E22D77" w:rsidRPr="00E22D77" w:rsidRDefault="00E22D77" w:rsidP="00E22D77">
          <w:pPr>
            <w:pStyle w:val="Obsah1"/>
            <w:rPr>
              <w:rFonts w:asciiTheme="minorHAnsi" w:eastAsiaTheme="minorEastAsia" w:hAnsiTheme="minorHAnsi"/>
              <w:noProof/>
              <w:kern w:val="2"/>
              <w:sz w:val="22"/>
              <w:lang w:eastAsia="en-IE"/>
              <w14:ligatures w14:val="standardContextual"/>
            </w:rPr>
          </w:pPr>
          <w:r w:rsidRPr="00E22D77">
            <w:rPr>
              <w:rFonts w:eastAsia="Calibri" w:cs="Times New Roman"/>
              <w:smallCaps/>
              <w:noProof/>
              <w:szCs w:val="24"/>
            </w:rPr>
            <w:fldChar w:fldCharType="begin"/>
          </w:r>
          <w:r w:rsidRPr="00E22D77">
            <w:rPr>
              <w:rFonts w:eastAsia="Calibri" w:cs="Times New Roman"/>
              <w:smallCaps/>
              <w:noProof/>
              <w:szCs w:val="24"/>
            </w:rPr>
            <w:instrText xml:space="preserve"> TOC \o "1-2" \h \z \u </w:instrText>
          </w:r>
          <w:r w:rsidRPr="00E22D77">
            <w:rPr>
              <w:rFonts w:eastAsia="Calibri" w:cs="Times New Roman"/>
              <w:smallCaps/>
              <w:noProof/>
              <w:szCs w:val="24"/>
            </w:rPr>
            <w:fldChar w:fldCharType="separate"/>
          </w:r>
          <w:hyperlink w:anchor="_Toc158197719" w:history="1">
            <w:r w:rsidRPr="00E22D77">
              <w:rPr>
                <w:rStyle w:val="Hypertextovprepojenie"/>
                <w:rFonts w:eastAsia="Times New Roman" w:cs="Times New Roman"/>
                <w:b/>
                <w:bCs/>
                <w:smallCaps/>
                <w:noProof/>
              </w:rPr>
              <w:t>1.</w:t>
            </w:r>
            <w:r w:rsidRPr="00E22D77">
              <w:rPr>
                <w:rFonts w:asciiTheme="minorHAnsi" w:eastAsiaTheme="minorEastAsia" w:hAnsiTheme="minorHAnsi"/>
                <w:noProof/>
                <w:kern w:val="2"/>
                <w:sz w:val="22"/>
                <w:lang w:eastAsia="en-IE"/>
                <w14:ligatures w14:val="standardContextual"/>
              </w:rPr>
              <w:tab/>
            </w:r>
            <w:r w:rsidRPr="00E22D77">
              <w:rPr>
                <w:rStyle w:val="Hypertextovprepojenie"/>
                <w:b/>
                <w:smallCaps/>
                <w:noProof/>
              </w:rPr>
              <w:t>Úvod: Prečo biela kniha?</w:t>
            </w:r>
            <w:r w:rsidRPr="00E22D77">
              <w:rPr>
                <w:noProof/>
                <w:webHidden/>
              </w:rPr>
              <w:tab/>
            </w:r>
            <w:r w:rsidRPr="00E22D77">
              <w:rPr>
                <w:noProof/>
                <w:webHidden/>
              </w:rPr>
              <w:fldChar w:fldCharType="begin"/>
            </w:r>
            <w:r w:rsidRPr="00E22D77">
              <w:rPr>
                <w:noProof/>
                <w:webHidden/>
              </w:rPr>
              <w:instrText xml:space="preserve"> PAGEREF _Toc158197719 \h </w:instrText>
            </w:r>
            <w:r w:rsidRPr="00E22D77">
              <w:rPr>
                <w:noProof/>
                <w:webHidden/>
              </w:rPr>
            </w:r>
            <w:r w:rsidRPr="00E22D77">
              <w:rPr>
                <w:noProof/>
                <w:webHidden/>
              </w:rPr>
              <w:fldChar w:fldCharType="separate"/>
            </w:r>
            <w:r w:rsidR="0040498E">
              <w:rPr>
                <w:noProof/>
                <w:webHidden/>
              </w:rPr>
              <w:t>2</w:t>
            </w:r>
            <w:r w:rsidRPr="00E22D77">
              <w:rPr>
                <w:noProof/>
                <w:webHidden/>
              </w:rPr>
              <w:fldChar w:fldCharType="end"/>
            </w:r>
          </w:hyperlink>
        </w:p>
        <w:p w14:paraId="75862E78" w14:textId="3849996E" w:rsidR="00E22D77" w:rsidRPr="00E22D77" w:rsidRDefault="00000000" w:rsidP="00E22D77">
          <w:pPr>
            <w:pStyle w:val="Obsah1"/>
            <w:rPr>
              <w:rFonts w:asciiTheme="minorHAnsi" w:eastAsiaTheme="minorEastAsia" w:hAnsiTheme="minorHAnsi"/>
              <w:noProof/>
              <w:kern w:val="2"/>
              <w:sz w:val="22"/>
              <w:lang w:eastAsia="en-IE"/>
              <w14:ligatures w14:val="standardContextual"/>
            </w:rPr>
          </w:pPr>
          <w:hyperlink w:anchor="_Toc158197720" w:history="1">
            <w:r w:rsidR="00E22D77" w:rsidRPr="00E22D77">
              <w:rPr>
                <w:rStyle w:val="Hypertextovprepojenie"/>
                <w:rFonts w:eastAsia="Times New Roman" w:cs="Times New Roman"/>
                <w:b/>
                <w:bCs/>
                <w:smallCaps/>
                <w:noProof/>
              </w:rPr>
              <w:t>2.</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smallCaps/>
                <w:noProof/>
              </w:rPr>
              <w:t>Aktuálny stav vykonávania nariadenia</w:t>
            </w:r>
            <w:r w:rsidR="00E22D77">
              <w:rPr>
                <w:rStyle w:val="Hypertextovprepojenie"/>
                <w:b/>
                <w:smallCaps/>
                <w:noProof/>
              </w:rPr>
              <w:t xml:space="preserve"> o </w:t>
            </w:r>
            <w:r w:rsidR="00E22D77" w:rsidRPr="00E22D77">
              <w:rPr>
                <w:rStyle w:val="Hypertextovprepojenie"/>
                <w:b/>
                <w:smallCaps/>
                <w:noProof/>
              </w:rPr>
              <w:t>položkách</w:t>
            </w:r>
            <w:r w:rsidR="00E22D77">
              <w:rPr>
                <w:rStyle w:val="Hypertextovprepojenie"/>
                <w:b/>
                <w:smallCaps/>
                <w:noProof/>
              </w:rPr>
              <w:t xml:space="preserve"> s </w:t>
            </w:r>
            <w:r w:rsidR="00E22D77" w:rsidRPr="00E22D77">
              <w:rPr>
                <w:rStyle w:val="Hypertextovprepojenie"/>
                <w:b/>
                <w:smallCaps/>
                <w:noProof/>
              </w:rPr>
              <w:t>dvojakým použitím</w:t>
            </w:r>
            <w:r w:rsidR="00E22D77">
              <w:rPr>
                <w:rStyle w:val="Hypertextovprepojenie"/>
                <w:b/>
                <w:smallCaps/>
                <w:noProof/>
              </w:rPr>
              <w:t xml:space="preserve"> z </w:t>
            </w:r>
            <w:r w:rsidR="00E22D77" w:rsidRPr="00E22D77">
              <w:rPr>
                <w:rStyle w:val="Hypertextovprepojenie"/>
                <w:b/>
                <w:smallCaps/>
                <w:noProof/>
              </w:rPr>
              <w:t>roku 2021</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_Toc158197720 \h </w:instrText>
            </w:r>
            <w:r w:rsidR="00E22D77" w:rsidRPr="00E22D77">
              <w:rPr>
                <w:noProof/>
                <w:webHidden/>
              </w:rPr>
            </w:r>
            <w:r w:rsidR="00E22D77" w:rsidRPr="00E22D77">
              <w:rPr>
                <w:noProof/>
                <w:webHidden/>
              </w:rPr>
              <w:fldChar w:fldCharType="separate"/>
            </w:r>
            <w:r w:rsidR="0040498E">
              <w:rPr>
                <w:noProof/>
                <w:webHidden/>
              </w:rPr>
              <w:t>3</w:t>
            </w:r>
            <w:r w:rsidR="00E22D77" w:rsidRPr="00E22D77">
              <w:rPr>
                <w:noProof/>
                <w:webHidden/>
              </w:rPr>
              <w:fldChar w:fldCharType="end"/>
            </w:r>
          </w:hyperlink>
        </w:p>
        <w:p w14:paraId="37B1989F" w14:textId="7C9D3540" w:rsidR="00E22D77" w:rsidRPr="00E22D77" w:rsidRDefault="00000000" w:rsidP="00E22D77">
          <w:pPr>
            <w:pStyle w:val="Obsah1"/>
            <w:rPr>
              <w:rFonts w:asciiTheme="minorHAnsi" w:eastAsiaTheme="minorEastAsia" w:hAnsiTheme="minorHAnsi"/>
              <w:noProof/>
              <w:kern w:val="2"/>
              <w:sz w:val="22"/>
              <w:lang w:eastAsia="en-IE"/>
              <w14:ligatures w14:val="standardContextual"/>
            </w:rPr>
          </w:pPr>
          <w:hyperlink w:anchor="_Toc158197721" w:history="1">
            <w:r w:rsidR="00E22D77" w:rsidRPr="00E22D77">
              <w:rPr>
                <w:rStyle w:val="Hypertextovprepojenie"/>
                <w:rFonts w:eastAsia="Times New Roman" w:cs="Times New Roman"/>
                <w:b/>
                <w:bCs/>
                <w:smallCaps/>
                <w:noProof/>
              </w:rPr>
              <w:t>3.</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smallCaps/>
                <w:noProof/>
              </w:rPr>
              <w:t>Najnovší vývoj</w:t>
            </w:r>
            <w:r w:rsidR="00E22D77">
              <w:rPr>
                <w:rStyle w:val="Hypertextovprepojenie"/>
                <w:b/>
                <w:smallCaps/>
                <w:noProof/>
              </w:rPr>
              <w:t xml:space="preserve"> v </w:t>
            </w:r>
            <w:r w:rsidR="00E22D77" w:rsidRPr="00E22D77">
              <w:rPr>
                <w:rStyle w:val="Hypertextovprepojenie"/>
                <w:b/>
                <w:smallCaps/>
                <w:noProof/>
              </w:rPr>
              <w:t>oblasti kontroly vývozu</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_Toc158197721 \h </w:instrText>
            </w:r>
            <w:r w:rsidR="00E22D77" w:rsidRPr="00E22D77">
              <w:rPr>
                <w:noProof/>
                <w:webHidden/>
              </w:rPr>
            </w:r>
            <w:r w:rsidR="00E22D77" w:rsidRPr="00E22D77">
              <w:rPr>
                <w:noProof/>
                <w:webHidden/>
              </w:rPr>
              <w:fldChar w:fldCharType="separate"/>
            </w:r>
            <w:r w:rsidR="0040498E">
              <w:rPr>
                <w:noProof/>
                <w:webHidden/>
              </w:rPr>
              <w:t>4</w:t>
            </w:r>
            <w:r w:rsidR="00E22D77" w:rsidRPr="00E22D77">
              <w:rPr>
                <w:noProof/>
                <w:webHidden/>
              </w:rPr>
              <w:fldChar w:fldCharType="end"/>
            </w:r>
          </w:hyperlink>
        </w:p>
        <w:p w14:paraId="3338DC50" w14:textId="3E1BF999"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22" w:history="1">
            <w:r w:rsidR="00E22D77" w:rsidRPr="00E22D77">
              <w:rPr>
                <w:rStyle w:val="Hypertextovprepojenie"/>
                <w:rFonts w:eastAsia="Times New Roman" w:cs="Times New Roman"/>
                <w:b/>
                <w:bCs/>
                <w:iCs/>
                <w:noProof/>
              </w:rPr>
              <w:t>3.1.</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Vplyv Ruska na fungovanie multilaterálnych režimov kontroly vývozu</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_Toc158197722 \h </w:instrText>
            </w:r>
            <w:r w:rsidR="00E22D77" w:rsidRPr="00E22D77">
              <w:rPr>
                <w:noProof/>
                <w:webHidden/>
              </w:rPr>
            </w:r>
            <w:r w:rsidR="00E22D77" w:rsidRPr="00E22D77">
              <w:rPr>
                <w:noProof/>
                <w:webHidden/>
              </w:rPr>
              <w:fldChar w:fldCharType="separate"/>
            </w:r>
            <w:r w:rsidR="0040498E">
              <w:rPr>
                <w:noProof/>
                <w:webHidden/>
              </w:rPr>
              <w:t>4</w:t>
            </w:r>
            <w:r w:rsidR="00E22D77" w:rsidRPr="00E22D77">
              <w:rPr>
                <w:noProof/>
                <w:webHidden/>
              </w:rPr>
              <w:fldChar w:fldCharType="end"/>
            </w:r>
          </w:hyperlink>
        </w:p>
        <w:p w14:paraId="2768A6A8" w14:textId="75E54A43"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23" w:history="1">
            <w:r w:rsidR="00E22D77" w:rsidRPr="00E22D77">
              <w:rPr>
                <w:rStyle w:val="Hypertextovprepojenie"/>
                <w:rFonts w:eastAsia="Times New Roman" w:cs="Times New Roman"/>
                <w:b/>
                <w:bCs/>
                <w:iCs/>
                <w:noProof/>
              </w:rPr>
              <w:t>3.2.</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Intenzívnejšie využívanie jednostranných kontrol vývozu na medzinárodnej úrovni</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_Toc158197723 \h </w:instrText>
            </w:r>
            <w:r w:rsidR="00E22D77" w:rsidRPr="00E22D77">
              <w:rPr>
                <w:noProof/>
                <w:webHidden/>
              </w:rPr>
            </w:r>
            <w:r w:rsidR="00E22D77" w:rsidRPr="00E22D77">
              <w:rPr>
                <w:noProof/>
                <w:webHidden/>
              </w:rPr>
              <w:fldChar w:fldCharType="separate"/>
            </w:r>
            <w:r w:rsidR="0040498E">
              <w:rPr>
                <w:noProof/>
                <w:webHidden/>
              </w:rPr>
              <w:t>5</w:t>
            </w:r>
            <w:r w:rsidR="00E22D77" w:rsidRPr="00E22D77">
              <w:rPr>
                <w:noProof/>
                <w:webHidden/>
              </w:rPr>
              <w:fldChar w:fldCharType="end"/>
            </w:r>
          </w:hyperlink>
        </w:p>
        <w:p w14:paraId="74CE3A58" w14:textId="690AABD4"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24" w:history="1">
            <w:r w:rsidR="00E22D77" w:rsidRPr="00E22D77">
              <w:rPr>
                <w:rStyle w:val="Hypertextovprepojenie"/>
                <w:rFonts w:eastAsia="Times New Roman" w:cs="Times New Roman"/>
                <w:b/>
                <w:bCs/>
                <w:iCs/>
                <w:noProof/>
              </w:rPr>
              <w:t>3.3.</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Nedávne vnútroštátne kontroly vývozu vykonávané členskými štátmi EÚ</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_Toc158197724 \h </w:instrText>
            </w:r>
            <w:r w:rsidR="00E22D77" w:rsidRPr="00E22D77">
              <w:rPr>
                <w:noProof/>
                <w:webHidden/>
              </w:rPr>
            </w:r>
            <w:r w:rsidR="00E22D77" w:rsidRPr="00E22D77">
              <w:rPr>
                <w:noProof/>
                <w:webHidden/>
              </w:rPr>
              <w:fldChar w:fldCharType="separate"/>
            </w:r>
            <w:r w:rsidR="0040498E">
              <w:rPr>
                <w:noProof/>
                <w:webHidden/>
              </w:rPr>
              <w:t>6</w:t>
            </w:r>
            <w:r w:rsidR="00E22D77" w:rsidRPr="00E22D77">
              <w:rPr>
                <w:noProof/>
                <w:webHidden/>
              </w:rPr>
              <w:fldChar w:fldCharType="end"/>
            </w:r>
          </w:hyperlink>
        </w:p>
        <w:p w14:paraId="26A12E77" w14:textId="0D4494E2" w:rsidR="00E22D77" w:rsidRPr="00E22D77" w:rsidRDefault="00000000" w:rsidP="00E22D77">
          <w:pPr>
            <w:pStyle w:val="Obsah1"/>
            <w:rPr>
              <w:rFonts w:asciiTheme="minorHAnsi" w:eastAsiaTheme="minorEastAsia" w:hAnsiTheme="minorHAnsi"/>
              <w:noProof/>
              <w:kern w:val="2"/>
              <w:sz w:val="22"/>
              <w:lang w:eastAsia="en-IE"/>
              <w14:ligatures w14:val="standardContextual"/>
            </w:rPr>
          </w:pPr>
          <w:hyperlink w:anchor="_Toc158197725" w:history="1">
            <w:r w:rsidR="00E22D77" w:rsidRPr="00E22D77">
              <w:rPr>
                <w:rStyle w:val="Hypertextovprepojenie"/>
                <w:rFonts w:eastAsia="Times New Roman" w:cs="Times New Roman"/>
                <w:b/>
                <w:bCs/>
                <w:smallCaps/>
                <w:noProof/>
              </w:rPr>
              <w:t>4.</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smallCaps/>
                <w:noProof/>
              </w:rPr>
              <w:t>Analýza súčasného rámca</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_Toc158197725 \h </w:instrText>
            </w:r>
            <w:r w:rsidR="00E22D77" w:rsidRPr="00E22D77">
              <w:rPr>
                <w:noProof/>
                <w:webHidden/>
              </w:rPr>
            </w:r>
            <w:r w:rsidR="00E22D77" w:rsidRPr="00E22D77">
              <w:rPr>
                <w:noProof/>
                <w:webHidden/>
              </w:rPr>
              <w:fldChar w:fldCharType="separate"/>
            </w:r>
            <w:r w:rsidR="0040498E">
              <w:rPr>
                <w:noProof/>
                <w:webHidden/>
              </w:rPr>
              <w:t>8</w:t>
            </w:r>
            <w:r w:rsidR="00E22D77" w:rsidRPr="00E22D77">
              <w:rPr>
                <w:noProof/>
                <w:webHidden/>
              </w:rPr>
              <w:fldChar w:fldCharType="end"/>
            </w:r>
          </w:hyperlink>
        </w:p>
        <w:p w14:paraId="108065AC" w14:textId="5CC11FA9"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26" w:history="1">
            <w:r w:rsidR="00E22D77" w:rsidRPr="00E22D77">
              <w:rPr>
                <w:rStyle w:val="Hypertextovprepojenie"/>
                <w:rFonts w:eastAsia="Times New Roman" w:cs="Times New Roman"/>
                <w:b/>
                <w:bCs/>
                <w:iCs/>
                <w:noProof/>
              </w:rPr>
              <w:t>4.1.</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Riziko nesúrodej škály kontrol vývozu</w:t>
            </w:r>
            <w:r w:rsidR="00E22D77">
              <w:rPr>
                <w:rStyle w:val="Hypertextovprepojenie"/>
                <w:b/>
                <w:noProof/>
              </w:rPr>
              <w:t xml:space="preserve"> v </w:t>
            </w:r>
            <w:r w:rsidR="00E22D77" w:rsidRPr="00E22D77">
              <w:rPr>
                <w:rStyle w:val="Hypertextovprepojenie"/>
                <w:b/>
                <w:noProof/>
              </w:rPr>
              <w:t>Európskej únii</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_Toc158197726 \h </w:instrText>
            </w:r>
            <w:r w:rsidR="00E22D77" w:rsidRPr="00E22D77">
              <w:rPr>
                <w:noProof/>
                <w:webHidden/>
              </w:rPr>
            </w:r>
            <w:r w:rsidR="00E22D77" w:rsidRPr="00E22D77">
              <w:rPr>
                <w:noProof/>
                <w:webHidden/>
              </w:rPr>
              <w:fldChar w:fldCharType="separate"/>
            </w:r>
            <w:r w:rsidR="0040498E">
              <w:rPr>
                <w:noProof/>
                <w:webHidden/>
              </w:rPr>
              <w:t>8</w:t>
            </w:r>
            <w:r w:rsidR="00E22D77" w:rsidRPr="00E22D77">
              <w:rPr>
                <w:noProof/>
                <w:webHidden/>
              </w:rPr>
              <w:fldChar w:fldCharType="end"/>
            </w:r>
          </w:hyperlink>
        </w:p>
        <w:p w14:paraId="28C9342E" w14:textId="2D2068B5"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27" w:history="1">
            <w:r w:rsidR="00E22D77" w:rsidRPr="00E22D77">
              <w:rPr>
                <w:rStyle w:val="Hypertextovprepojenie"/>
                <w:rFonts w:eastAsia="Times New Roman" w:cs="Times New Roman"/>
                <w:b/>
                <w:bCs/>
                <w:iCs/>
                <w:noProof/>
              </w:rPr>
              <w:t>4.2.</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Neexistujúci spoločný prístup</w:t>
            </w:r>
            <w:r w:rsidR="00E22D77">
              <w:rPr>
                <w:rStyle w:val="Hypertextovprepojenie"/>
                <w:b/>
                <w:noProof/>
              </w:rPr>
              <w:t xml:space="preserve"> k </w:t>
            </w:r>
            <w:r w:rsidR="00E22D77" w:rsidRPr="00E22D77">
              <w:rPr>
                <w:rStyle w:val="Hypertextovprepojenie"/>
                <w:b/>
                <w:noProof/>
              </w:rPr>
              <w:t>cieľom bezpečnostnej</w:t>
            </w:r>
            <w:r w:rsidR="00E22D77">
              <w:rPr>
                <w:rStyle w:val="Hypertextovprepojenie"/>
                <w:b/>
                <w:noProof/>
              </w:rPr>
              <w:t xml:space="preserve"> a </w:t>
            </w:r>
            <w:r w:rsidR="00E22D77" w:rsidRPr="00E22D77">
              <w:rPr>
                <w:rStyle w:val="Hypertextovprepojenie"/>
                <w:b/>
                <w:noProof/>
              </w:rPr>
              <w:t>obchodnej politiky Únie</w:t>
            </w:r>
            <w:r w:rsidR="00E22D77">
              <w:rPr>
                <w:rStyle w:val="Hypertextovprepojenie"/>
                <w:b/>
                <w:noProof/>
              </w:rPr>
              <w:t xml:space="preserve"> v </w:t>
            </w:r>
            <w:r w:rsidR="00E22D77" w:rsidRPr="00E22D77">
              <w:rPr>
                <w:rStyle w:val="Hypertextovprepojenie"/>
                <w:b/>
                <w:noProof/>
              </w:rPr>
              <w:t>oblasti kontrol vývozu</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_Toc158197727 \h </w:instrText>
            </w:r>
            <w:r w:rsidR="00E22D77" w:rsidRPr="00E22D77">
              <w:rPr>
                <w:noProof/>
                <w:webHidden/>
              </w:rPr>
            </w:r>
            <w:r w:rsidR="00E22D77" w:rsidRPr="00E22D77">
              <w:rPr>
                <w:noProof/>
                <w:webHidden/>
              </w:rPr>
              <w:fldChar w:fldCharType="separate"/>
            </w:r>
            <w:r w:rsidR="0040498E">
              <w:rPr>
                <w:noProof/>
                <w:webHidden/>
              </w:rPr>
              <w:t>9</w:t>
            </w:r>
            <w:r w:rsidR="00E22D77" w:rsidRPr="00E22D77">
              <w:rPr>
                <w:noProof/>
                <w:webHidden/>
              </w:rPr>
              <w:fldChar w:fldCharType="end"/>
            </w:r>
          </w:hyperlink>
        </w:p>
        <w:p w14:paraId="49E38122" w14:textId="5B573033"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28" w:history="1">
            <w:r w:rsidR="00E22D77" w:rsidRPr="00E22D77">
              <w:rPr>
                <w:rStyle w:val="Hypertextovprepojenie"/>
                <w:rFonts w:eastAsia="Times New Roman" w:cs="Times New Roman"/>
                <w:b/>
                <w:bCs/>
                <w:iCs/>
                <w:noProof/>
              </w:rPr>
              <w:t>4.3.</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Chýbajúci spoločný hlas EÚ na medzinárodnej úrovni</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_Toc158197728 \h </w:instrText>
            </w:r>
            <w:r w:rsidR="00E22D77" w:rsidRPr="00E22D77">
              <w:rPr>
                <w:noProof/>
                <w:webHidden/>
              </w:rPr>
            </w:r>
            <w:r w:rsidR="00E22D77" w:rsidRPr="00E22D77">
              <w:rPr>
                <w:noProof/>
                <w:webHidden/>
              </w:rPr>
              <w:fldChar w:fldCharType="separate"/>
            </w:r>
            <w:r w:rsidR="0040498E">
              <w:rPr>
                <w:noProof/>
                <w:webHidden/>
              </w:rPr>
              <w:t>10</w:t>
            </w:r>
            <w:r w:rsidR="00E22D77" w:rsidRPr="00E22D77">
              <w:rPr>
                <w:noProof/>
                <w:webHidden/>
              </w:rPr>
              <w:fldChar w:fldCharType="end"/>
            </w:r>
          </w:hyperlink>
        </w:p>
        <w:p w14:paraId="37DDC693" w14:textId="63A68C7D"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29" w:history="1">
            <w:r w:rsidR="00E22D77" w:rsidRPr="00E22D77">
              <w:rPr>
                <w:rStyle w:val="Hypertextovprepojenie"/>
                <w:rFonts w:eastAsia="Times New Roman" w:cs="Times New Roman"/>
                <w:b/>
                <w:bCs/>
                <w:iCs/>
                <w:noProof/>
              </w:rPr>
              <w:t>4.4.</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Globálne dodávateľské reťazce</w:t>
            </w:r>
            <w:r w:rsidR="00E22D77">
              <w:rPr>
                <w:rStyle w:val="Hypertextovprepojenie"/>
                <w:b/>
                <w:noProof/>
              </w:rPr>
              <w:t xml:space="preserve"> a </w:t>
            </w:r>
            <w:r w:rsidR="00E22D77" w:rsidRPr="00E22D77">
              <w:rPr>
                <w:rStyle w:val="Hypertextovprepojenie"/>
                <w:b/>
                <w:noProof/>
              </w:rPr>
              <w:t>následný vplyv</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_Toc158197729 \h </w:instrText>
            </w:r>
            <w:r w:rsidR="00E22D77" w:rsidRPr="00E22D77">
              <w:rPr>
                <w:noProof/>
                <w:webHidden/>
              </w:rPr>
            </w:r>
            <w:r w:rsidR="00E22D77" w:rsidRPr="00E22D77">
              <w:rPr>
                <w:noProof/>
                <w:webHidden/>
              </w:rPr>
              <w:fldChar w:fldCharType="separate"/>
            </w:r>
            <w:r w:rsidR="0040498E">
              <w:rPr>
                <w:noProof/>
                <w:webHidden/>
              </w:rPr>
              <w:t>10</w:t>
            </w:r>
            <w:r w:rsidR="00E22D77" w:rsidRPr="00E22D77">
              <w:rPr>
                <w:noProof/>
                <w:webHidden/>
              </w:rPr>
              <w:fldChar w:fldCharType="end"/>
            </w:r>
          </w:hyperlink>
        </w:p>
        <w:p w14:paraId="5217CB58" w14:textId="50374E9B"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30" w:history="1">
            <w:r w:rsidR="00E22D77" w:rsidRPr="00E22D77">
              <w:rPr>
                <w:rStyle w:val="Hypertextovprepojenie"/>
                <w:rFonts w:eastAsia="Times New Roman" w:cs="Times New Roman"/>
                <w:b/>
                <w:bCs/>
                <w:iCs/>
                <w:noProof/>
              </w:rPr>
              <w:t>4.5.</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Ponaučenia zo sankcií EÚ voči Rusku</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_Toc158197730 \h </w:instrText>
            </w:r>
            <w:r w:rsidR="00E22D77" w:rsidRPr="00E22D77">
              <w:rPr>
                <w:noProof/>
                <w:webHidden/>
              </w:rPr>
            </w:r>
            <w:r w:rsidR="00E22D77" w:rsidRPr="00E22D77">
              <w:rPr>
                <w:noProof/>
                <w:webHidden/>
              </w:rPr>
              <w:fldChar w:fldCharType="separate"/>
            </w:r>
            <w:r w:rsidR="0040498E">
              <w:rPr>
                <w:noProof/>
                <w:webHidden/>
              </w:rPr>
              <w:t>11</w:t>
            </w:r>
            <w:r w:rsidR="00E22D77" w:rsidRPr="00E22D77">
              <w:rPr>
                <w:noProof/>
                <w:webHidden/>
              </w:rPr>
              <w:fldChar w:fldCharType="end"/>
            </w:r>
          </w:hyperlink>
        </w:p>
        <w:p w14:paraId="75E0D5EB" w14:textId="5610AF7D" w:rsidR="00E22D77" w:rsidRPr="00E22D77" w:rsidRDefault="00000000" w:rsidP="00E22D77">
          <w:pPr>
            <w:pStyle w:val="Obsah1"/>
            <w:rPr>
              <w:rFonts w:asciiTheme="minorHAnsi" w:eastAsiaTheme="minorEastAsia" w:hAnsiTheme="minorHAnsi"/>
              <w:noProof/>
              <w:kern w:val="2"/>
              <w:sz w:val="22"/>
              <w:lang w:eastAsia="en-IE"/>
              <w14:ligatures w14:val="standardContextual"/>
            </w:rPr>
          </w:pPr>
          <w:hyperlink w:anchor="_Toc158197731" w:history="1">
            <w:r w:rsidR="00E22D77" w:rsidRPr="00E22D77">
              <w:rPr>
                <w:rStyle w:val="Hypertextovprepojenie"/>
                <w:rFonts w:eastAsia="Times New Roman" w:cs="Times New Roman"/>
                <w:b/>
                <w:bCs/>
                <w:smallCaps/>
                <w:noProof/>
              </w:rPr>
              <w:t>5.</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smallCaps/>
                <w:noProof/>
              </w:rPr>
              <w:t>Navrhované odpovede</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_Toc158197731 \h </w:instrText>
            </w:r>
            <w:r w:rsidR="00E22D77" w:rsidRPr="00E22D77">
              <w:rPr>
                <w:noProof/>
                <w:webHidden/>
              </w:rPr>
            </w:r>
            <w:r w:rsidR="00E22D77" w:rsidRPr="00E22D77">
              <w:rPr>
                <w:noProof/>
                <w:webHidden/>
              </w:rPr>
              <w:fldChar w:fldCharType="separate"/>
            </w:r>
            <w:r w:rsidR="0040498E">
              <w:rPr>
                <w:noProof/>
                <w:webHidden/>
              </w:rPr>
              <w:t>12</w:t>
            </w:r>
            <w:r w:rsidR="00E22D77" w:rsidRPr="00E22D77">
              <w:rPr>
                <w:noProof/>
                <w:webHidden/>
              </w:rPr>
              <w:fldChar w:fldCharType="end"/>
            </w:r>
          </w:hyperlink>
        </w:p>
        <w:p w14:paraId="4D7B883D" w14:textId="1F2740D1"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32" w:history="1">
            <w:r w:rsidR="00E22D77" w:rsidRPr="00E22D77">
              <w:rPr>
                <w:rStyle w:val="Hypertextovprepojenie"/>
                <w:rFonts w:eastAsia="Times New Roman" w:cs="Times New Roman"/>
                <w:b/>
                <w:bCs/>
                <w:iCs/>
                <w:noProof/>
              </w:rPr>
              <w:t>5.1.</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Zabezpečiť pokračovanie</w:t>
            </w:r>
            <w:r w:rsidR="00E22D77">
              <w:rPr>
                <w:rStyle w:val="Hypertextovprepojenie"/>
                <w:b/>
                <w:noProof/>
              </w:rPr>
              <w:t xml:space="preserve"> a </w:t>
            </w:r>
            <w:r w:rsidR="00E22D77" w:rsidRPr="00E22D77">
              <w:rPr>
                <w:rStyle w:val="Hypertextovprepojenie"/>
                <w:b/>
                <w:noProof/>
              </w:rPr>
              <w:t>posilnenie jednotných kontrol</w:t>
            </w:r>
            <w:r w:rsidR="00E22D77">
              <w:rPr>
                <w:rStyle w:val="Hypertextovprepojenie"/>
                <w:b/>
                <w:noProof/>
              </w:rPr>
              <w:t xml:space="preserve"> v </w:t>
            </w:r>
            <w:r w:rsidR="00E22D77" w:rsidRPr="00E22D77">
              <w:rPr>
                <w:rStyle w:val="Hypertextovprepojenie"/>
                <w:b/>
                <w:noProof/>
              </w:rPr>
              <w:t>EÚ</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_Toc158197732 \h </w:instrText>
            </w:r>
            <w:r w:rsidR="00E22D77" w:rsidRPr="00E22D77">
              <w:rPr>
                <w:noProof/>
                <w:webHidden/>
              </w:rPr>
            </w:r>
            <w:r w:rsidR="00E22D77" w:rsidRPr="00E22D77">
              <w:rPr>
                <w:noProof/>
                <w:webHidden/>
              </w:rPr>
              <w:fldChar w:fldCharType="separate"/>
            </w:r>
            <w:r w:rsidR="0040498E">
              <w:rPr>
                <w:noProof/>
                <w:webHidden/>
              </w:rPr>
              <w:t>12</w:t>
            </w:r>
            <w:r w:rsidR="00E22D77" w:rsidRPr="00E22D77">
              <w:rPr>
                <w:noProof/>
                <w:webHidden/>
              </w:rPr>
              <w:fldChar w:fldCharType="end"/>
            </w:r>
          </w:hyperlink>
        </w:p>
        <w:p w14:paraId="17266D58" w14:textId="33119048"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33" w:history="1">
            <w:r w:rsidR="00E22D77" w:rsidRPr="00E22D77">
              <w:rPr>
                <w:rStyle w:val="Hypertextovprepojenie"/>
                <w:rFonts w:eastAsia="Times New Roman" w:cs="Times New Roman"/>
                <w:b/>
                <w:bCs/>
                <w:iCs/>
                <w:noProof/>
              </w:rPr>
              <w:t>5.2.</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Vytvoriť fórum pre politickú koordináciu kontrol vývozu</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_Toc158197733 \h </w:instrText>
            </w:r>
            <w:r w:rsidR="00E22D77" w:rsidRPr="00E22D77">
              <w:rPr>
                <w:noProof/>
                <w:webHidden/>
              </w:rPr>
            </w:r>
            <w:r w:rsidR="00E22D77" w:rsidRPr="00E22D77">
              <w:rPr>
                <w:noProof/>
                <w:webHidden/>
              </w:rPr>
              <w:fldChar w:fldCharType="separate"/>
            </w:r>
            <w:r w:rsidR="0040498E">
              <w:rPr>
                <w:noProof/>
                <w:webHidden/>
              </w:rPr>
              <w:t>12</w:t>
            </w:r>
            <w:r w:rsidR="00E22D77" w:rsidRPr="00E22D77">
              <w:rPr>
                <w:noProof/>
                <w:webHidden/>
              </w:rPr>
              <w:fldChar w:fldCharType="end"/>
            </w:r>
          </w:hyperlink>
        </w:p>
        <w:p w14:paraId="383D9300" w14:textId="721E7173"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34" w:history="1">
            <w:r w:rsidR="00E22D77" w:rsidRPr="00E22D77">
              <w:rPr>
                <w:rStyle w:val="Hypertextovprepojenie"/>
                <w:rFonts w:eastAsia="Times New Roman" w:cs="Times New Roman"/>
                <w:b/>
                <w:bCs/>
                <w:iCs/>
                <w:noProof/>
              </w:rPr>
              <w:t>5.3.</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 xml:space="preserve">Mechanizmus lepšej koordinácie nových vnútroštátnych </w:t>
            </w:r>
            <w:r w:rsidR="00E22D77" w:rsidRPr="00E22D77">
              <w:rPr>
                <w:rStyle w:val="Hypertextovprepojenie"/>
                <w:b/>
                <w:noProof/>
              </w:rPr>
              <w:br/>
              <w:t>kontrolných zoznamov</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_Toc158197734 \h </w:instrText>
            </w:r>
            <w:r w:rsidR="00E22D77" w:rsidRPr="00E22D77">
              <w:rPr>
                <w:noProof/>
                <w:webHidden/>
              </w:rPr>
            </w:r>
            <w:r w:rsidR="00E22D77" w:rsidRPr="00E22D77">
              <w:rPr>
                <w:noProof/>
                <w:webHidden/>
              </w:rPr>
              <w:fldChar w:fldCharType="separate"/>
            </w:r>
            <w:r w:rsidR="0040498E">
              <w:rPr>
                <w:noProof/>
                <w:webHidden/>
              </w:rPr>
              <w:t>13</w:t>
            </w:r>
            <w:r w:rsidR="00E22D77" w:rsidRPr="00E22D77">
              <w:rPr>
                <w:noProof/>
                <w:webHidden/>
              </w:rPr>
              <w:fldChar w:fldCharType="end"/>
            </w:r>
          </w:hyperlink>
        </w:p>
        <w:p w14:paraId="2D3D2C29" w14:textId="50838220" w:rsidR="00E22D77" w:rsidRPr="00E22D77" w:rsidRDefault="00000000" w:rsidP="00E22D77">
          <w:pPr>
            <w:pStyle w:val="Obsah2"/>
            <w:rPr>
              <w:rFonts w:asciiTheme="minorHAnsi" w:eastAsiaTheme="minorEastAsia" w:hAnsiTheme="minorHAnsi"/>
              <w:noProof/>
              <w:kern w:val="2"/>
              <w:sz w:val="22"/>
              <w:lang w:eastAsia="en-IE"/>
              <w14:ligatures w14:val="standardContextual"/>
            </w:rPr>
          </w:pPr>
          <w:hyperlink w:anchor="_Toc158197735" w:history="1">
            <w:r w:rsidR="00E22D77" w:rsidRPr="00E22D77">
              <w:rPr>
                <w:rStyle w:val="Hypertextovprepojenie"/>
                <w:rFonts w:eastAsia="Times New Roman" w:cs="Times New Roman"/>
                <w:b/>
                <w:bCs/>
                <w:iCs/>
                <w:noProof/>
              </w:rPr>
              <w:t>5.4.</w:t>
            </w:r>
            <w:r w:rsidR="00E22D77" w:rsidRPr="00E22D77">
              <w:rPr>
                <w:rFonts w:asciiTheme="minorHAnsi" w:eastAsiaTheme="minorEastAsia" w:hAnsiTheme="minorHAnsi"/>
                <w:noProof/>
                <w:kern w:val="2"/>
                <w:sz w:val="22"/>
                <w:lang w:eastAsia="en-IE"/>
                <w14:ligatures w14:val="standardContextual"/>
              </w:rPr>
              <w:tab/>
            </w:r>
            <w:r w:rsidR="00E22D77" w:rsidRPr="00E22D77">
              <w:rPr>
                <w:rStyle w:val="Hypertextovprepojenie"/>
                <w:b/>
                <w:noProof/>
              </w:rPr>
              <w:t>Načasovať hodnotenie nariadenia</w:t>
            </w:r>
            <w:r w:rsidR="00E22D77">
              <w:rPr>
                <w:rStyle w:val="Hypertextovprepojenie"/>
                <w:b/>
                <w:noProof/>
              </w:rPr>
              <w:t xml:space="preserve"> o </w:t>
            </w:r>
            <w:r w:rsidR="00E22D77" w:rsidRPr="00E22D77">
              <w:rPr>
                <w:rStyle w:val="Hypertextovprepojenie"/>
                <w:b/>
                <w:noProof/>
              </w:rPr>
              <w:t>položkách</w:t>
            </w:r>
            <w:r w:rsidR="00E22D77">
              <w:rPr>
                <w:rStyle w:val="Hypertextovprepojenie"/>
                <w:b/>
                <w:noProof/>
              </w:rPr>
              <w:t xml:space="preserve"> s </w:t>
            </w:r>
            <w:r w:rsidR="00E22D77" w:rsidRPr="00E22D77">
              <w:rPr>
                <w:rStyle w:val="Hypertextovprepojenie"/>
                <w:b/>
                <w:noProof/>
              </w:rPr>
              <w:t>dvojakým použitím</w:t>
            </w:r>
            <w:r w:rsidR="00E22D77" w:rsidRPr="00E22D77">
              <w:rPr>
                <w:noProof/>
                <w:webHidden/>
              </w:rPr>
              <w:tab/>
            </w:r>
            <w:r w:rsidR="00E22D77" w:rsidRPr="00E22D77">
              <w:rPr>
                <w:noProof/>
                <w:webHidden/>
              </w:rPr>
              <w:fldChar w:fldCharType="begin"/>
            </w:r>
            <w:r w:rsidR="00E22D77" w:rsidRPr="00E22D77">
              <w:rPr>
                <w:noProof/>
                <w:webHidden/>
              </w:rPr>
              <w:instrText xml:space="preserve"> PAGEREF _Toc158197735 \h </w:instrText>
            </w:r>
            <w:r w:rsidR="00E22D77" w:rsidRPr="00E22D77">
              <w:rPr>
                <w:noProof/>
                <w:webHidden/>
              </w:rPr>
            </w:r>
            <w:r w:rsidR="00E22D77" w:rsidRPr="00E22D77">
              <w:rPr>
                <w:noProof/>
                <w:webHidden/>
              </w:rPr>
              <w:fldChar w:fldCharType="separate"/>
            </w:r>
            <w:r w:rsidR="0040498E">
              <w:rPr>
                <w:noProof/>
                <w:webHidden/>
              </w:rPr>
              <w:t>13</w:t>
            </w:r>
            <w:r w:rsidR="00E22D77" w:rsidRPr="00E22D77">
              <w:rPr>
                <w:noProof/>
                <w:webHidden/>
              </w:rPr>
              <w:fldChar w:fldCharType="end"/>
            </w:r>
          </w:hyperlink>
        </w:p>
        <w:p w14:paraId="5D28DDB1" w14:textId="3919F558" w:rsidR="000A37D7" w:rsidRPr="00E22D77" w:rsidRDefault="00E22D77" w:rsidP="00E22D77">
          <w:pPr>
            <w:pStyle w:val="Obsah1"/>
            <w:rPr>
              <w:rFonts w:eastAsia="Times New Roman" w:cs="Times New Roman"/>
              <w:noProof/>
            </w:rPr>
          </w:pPr>
          <w:r w:rsidRPr="00E22D77">
            <w:rPr>
              <w:noProof/>
            </w:rPr>
            <w:fldChar w:fldCharType="end"/>
          </w:r>
        </w:p>
      </w:sdtContent>
    </w:sdt>
    <w:p w14:paraId="03CDAD44" w14:textId="77777777" w:rsidR="000A37D7" w:rsidRPr="00E22D77" w:rsidRDefault="000A37D7" w:rsidP="000A37D7">
      <w:pPr>
        <w:spacing w:before="120" w:after="120" w:line="240" w:lineRule="auto"/>
        <w:jc w:val="left"/>
        <w:rPr>
          <w:rFonts w:eastAsia="Times New Roman" w:cs="Times New Roman"/>
          <w:noProof/>
          <w:szCs w:val="24"/>
        </w:rPr>
      </w:pPr>
    </w:p>
    <w:p w14:paraId="047CB4A4" w14:textId="77777777" w:rsidR="000A37D7" w:rsidRPr="00E22D77" w:rsidRDefault="000A37D7" w:rsidP="000A37D7">
      <w:pPr>
        <w:spacing w:before="120" w:after="120" w:line="240" w:lineRule="auto"/>
        <w:jc w:val="left"/>
        <w:rPr>
          <w:rFonts w:eastAsia="Times New Roman" w:cs="Times New Roman"/>
          <w:noProof/>
          <w:szCs w:val="24"/>
        </w:rPr>
      </w:pPr>
    </w:p>
    <w:p w14:paraId="3F2AAE20" w14:textId="6AC2361E" w:rsidR="000A37D7" w:rsidRPr="00E22D77" w:rsidRDefault="00A71AE8">
      <w:pPr>
        <w:jc w:val="left"/>
        <w:rPr>
          <w:rFonts w:eastAsia="Times New Roman" w:cs="Times New Roman"/>
          <w:noProof/>
          <w:szCs w:val="24"/>
        </w:rPr>
      </w:pPr>
      <w:r w:rsidRPr="00E22D77">
        <w:rPr>
          <w:noProof/>
        </w:rPr>
        <w:br w:type="page"/>
      </w:r>
    </w:p>
    <w:p w14:paraId="6366E474" w14:textId="77777777" w:rsidR="000A37D7" w:rsidRPr="00E22D77" w:rsidRDefault="000A37D7" w:rsidP="000A37D7">
      <w:pPr>
        <w:keepNext/>
        <w:numPr>
          <w:ilvl w:val="0"/>
          <w:numId w:val="12"/>
        </w:numPr>
        <w:spacing w:before="360" w:after="120" w:line="240" w:lineRule="auto"/>
        <w:ind w:left="432" w:hanging="432"/>
        <w:outlineLvl w:val="0"/>
        <w:rPr>
          <w:rFonts w:eastAsia="Times New Roman" w:cs="Times New Roman"/>
          <w:b/>
          <w:bCs/>
          <w:smallCaps/>
          <w:noProof/>
          <w:szCs w:val="24"/>
        </w:rPr>
      </w:pPr>
      <w:bookmarkStart w:id="2" w:name="_Toc156899397"/>
      <w:bookmarkStart w:id="3" w:name="_Toc158197719"/>
      <w:r w:rsidRPr="00E22D77">
        <w:rPr>
          <w:b/>
          <w:smallCaps/>
          <w:noProof/>
        </w:rPr>
        <w:lastRenderedPageBreak/>
        <w:t>Úvod: Prečo biela kniha?</w:t>
      </w:r>
      <w:bookmarkEnd w:id="2"/>
      <w:bookmarkEnd w:id="3"/>
    </w:p>
    <w:p w14:paraId="7D572661" w14:textId="1FE6CA86" w:rsidR="000A37D7" w:rsidRPr="00E22D77" w:rsidRDefault="000A37D7" w:rsidP="000A37D7">
      <w:pPr>
        <w:spacing w:before="120" w:after="120" w:line="240" w:lineRule="auto"/>
        <w:rPr>
          <w:rFonts w:eastAsia="Times New Roman" w:cs="Times New Roman"/>
          <w:noProof/>
          <w:szCs w:val="24"/>
        </w:rPr>
      </w:pPr>
      <w:r w:rsidRPr="00E22D77">
        <w:rPr>
          <w:noProof/>
        </w:rPr>
        <w:t>Kontroly vývozu položiek</w:t>
      </w:r>
      <w:r w:rsidR="00E22D77">
        <w:rPr>
          <w:noProof/>
        </w:rPr>
        <w:t xml:space="preserve"> s </w:t>
      </w:r>
      <w:r w:rsidRPr="00E22D77">
        <w:rPr>
          <w:noProof/>
        </w:rPr>
        <w:t>dvojakým použitím</w:t>
      </w:r>
      <w:r w:rsidR="00793411" w:rsidRPr="00E22D77">
        <w:rPr>
          <w:rStyle w:val="Odkaznapoznmkupodiarou"/>
          <w:rFonts w:eastAsia="Times New Roman" w:cs="Times New Roman"/>
          <w:noProof/>
          <w:szCs w:val="24"/>
          <w:lang w:eastAsia="en-IE"/>
        </w:rPr>
        <w:footnoteReference w:id="2"/>
      </w:r>
      <w:r w:rsidRPr="00E22D77">
        <w:rPr>
          <w:noProof/>
        </w:rPr>
        <w:t xml:space="preserve"> zo strany EÚ sú kľúčovým nástrojom na zaistenie medzinárodného mieru</w:t>
      </w:r>
      <w:r w:rsidR="00E22D77">
        <w:rPr>
          <w:noProof/>
        </w:rPr>
        <w:t xml:space="preserve"> a </w:t>
      </w:r>
      <w:r w:rsidRPr="00E22D77">
        <w:rPr>
          <w:noProof/>
        </w:rPr>
        <w:t>bezpečnosti, ako aj ochrany ľudských práv. Zabezpečujú, aby sa predmety ako pokročilá elektronika, toxíny, raketové technológie alebo jadrové komponenty, ktoré majú civilné, ale aj vojenské použitie, nedostali do nesprávnych rúk. Položky</w:t>
      </w:r>
      <w:r w:rsidR="00E22D77">
        <w:rPr>
          <w:noProof/>
        </w:rPr>
        <w:t xml:space="preserve"> s </w:t>
      </w:r>
      <w:r w:rsidRPr="00E22D77">
        <w:rPr>
          <w:noProof/>
        </w:rPr>
        <w:t>dvojakým použitím preto podliehajú povoleniam pri vývoze mimo EÚ, čím sa obmedzuje možnosť, aby sa takéto položky použili vo vojne alebo konfliktných situáciách, na porušovanie ľudských práv alebo na umožnenie šírenia zbraní hromadného ničenia.</w:t>
      </w:r>
    </w:p>
    <w:p w14:paraId="13685B31" w14:textId="269A08D1" w:rsidR="000A37D7" w:rsidRPr="00E22D77" w:rsidRDefault="000A37D7" w:rsidP="000A37D7">
      <w:pPr>
        <w:spacing w:before="120" w:after="120" w:line="240" w:lineRule="auto"/>
        <w:rPr>
          <w:rFonts w:eastAsia="Times New Roman" w:cs="Times New Roman"/>
          <w:noProof/>
          <w:szCs w:val="24"/>
        </w:rPr>
      </w:pPr>
      <w:r w:rsidRPr="00E22D77">
        <w:rPr>
          <w:noProof/>
        </w:rPr>
        <w:t>Tieto kontroly vo všeobecnosti vyplývajú</w:t>
      </w:r>
      <w:r w:rsidR="00E22D77">
        <w:rPr>
          <w:noProof/>
        </w:rPr>
        <w:t xml:space="preserve"> z </w:t>
      </w:r>
      <w:r w:rsidRPr="00E22D77">
        <w:rPr>
          <w:noProof/>
        </w:rPr>
        <w:t>povinností</w:t>
      </w:r>
      <w:r w:rsidR="00E22D77">
        <w:rPr>
          <w:noProof/>
        </w:rPr>
        <w:t xml:space="preserve"> a </w:t>
      </w:r>
      <w:r w:rsidRPr="00E22D77">
        <w:rPr>
          <w:noProof/>
        </w:rPr>
        <w:t>záväzkov, ktoré prijali členské štáty EÚ alebo Európska únia ako zmluvné strany medzinárodných dohôd</w:t>
      </w:r>
      <w:r w:rsidR="00E22D77">
        <w:rPr>
          <w:noProof/>
        </w:rPr>
        <w:t xml:space="preserve"> o </w:t>
      </w:r>
      <w:r w:rsidRPr="00E22D77">
        <w:rPr>
          <w:noProof/>
        </w:rPr>
        <w:t>nešírení jadrových zbraní</w:t>
      </w:r>
      <w:r w:rsidR="00E22D77">
        <w:rPr>
          <w:noProof/>
        </w:rPr>
        <w:t xml:space="preserve"> a </w:t>
      </w:r>
      <w:r w:rsidRPr="00E22D77">
        <w:rPr>
          <w:noProof/>
        </w:rPr>
        <w:t>členovia multilaterálnych režimov kontroly vývozu</w:t>
      </w:r>
      <w:r w:rsidR="002C2D9D" w:rsidRPr="00E22D77">
        <w:rPr>
          <w:rStyle w:val="Odkaznapoznmkupodiarou"/>
          <w:rFonts w:eastAsia="Times New Roman" w:cs="Times New Roman"/>
          <w:noProof/>
          <w:szCs w:val="24"/>
        </w:rPr>
        <w:footnoteReference w:id="3"/>
      </w:r>
      <w:r w:rsidRPr="00E22D77">
        <w:rPr>
          <w:noProof/>
        </w:rPr>
        <w:t>. Tento multilaterálny prístup predstavuje najlepší spôsob rozvoja spoľahlivých kontrol vývozu na celom svete. Tieto záväzky sa potom</w:t>
      </w:r>
      <w:r w:rsidR="00E22D77">
        <w:rPr>
          <w:noProof/>
        </w:rPr>
        <w:t xml:space="preserve"> v </w:t>
      </w:r>
      <w:r w:rsidRPr="00E22D77">
        <w:rPr>
          <w:noProof/>
        </w:rPr>
        <w:t>EÚ vykonávajú jednotným spôsobom.</w:t>
      </w:r>
    </w:p>
    <w:p w14:paraId="257F1555" w14:textId="4F15905E" w:rsidR="000A37D7" w:rsidRPr="00E22D77" w:rsidRDefault="000A37D7" w:rsidP="000A37D7">
      <w:pPr>
        <w:spacing w:before="120" w:after="120" w:line="240" w:lineRule="auto"/>
        <w:rPr>
          <w:rFonts w:eastAsia="Times New Roman" w:cs="Times New Roman"/>
          <w:noProof/>
          <w:spacing w:val="-4"/>
          <w:szCs w:val="24"/>
        </w:rPr>
      </w:pPr>
      <w:r w:rsidRPr="00E22D77">
        <w:rPr>
          <w:noProof/>
          <w:spacing w:val="-4"/>
        </w:rPr>
        <w:t>Na úrovni EÚ je rámec na vykonávanie</w:t>
      </w:r>
      <w:r w:rsidR="00E22D77" w:rsidRPr="00E22D77">
        <w:rPr>
          <w:noProof/>
          <w:spacing w:val="-4"/>
        </w:rPr>
        <w:t xml:space="preserve"> a </w:t>
      </w:r>
      <w:r w:rsidRPr="00E22D77">
        <w:rPr>
          <w:noProof/>
          <w:spacing w:val="-4"/>
        </w:rPr>
        <w:t>reguláciu vývozu položiek</w:t>
      </w:r>
      <w:r w:rsidR="00E22D77" w:rsidRPr="00E22D77">
        <w:rPr>
          <w:noProof/>
          <w:spacing w:val="-4"/>
        </w:rPr>
        <w:t xml:space="preserve"> s </w:t>
      </w:r>
      <w:r w:rsidRPr="00E22D77">
        <w:rPr>
          <w:noProof/>
          <w:spacing w:val="-4"/>
        </w:rPr>
        <w:t>dvojakým použitím stanovený</w:t>
      </w:r>
      <w:r w:rsidR="00E22D77" w:rsidRPr="00E22D77">
        <w:rPr>
          <w:noProof/>
          <w:spacing w:val="-4"/>
        </w:rPr>
        <w:t xml:space="preserve"> v </w:t>
      </w:r>
      <w:r w:rsidRPr="00E22D77">
        <w:rPr>
          <w:noProof/>
          <w:spacing w:val="-4"/>
        </w:rPr>
        <w:t>nariadení (EÚ) 2021/821 (ďalej len „nariadenie</w:t>
      </w:r>
      <w:r w:rsidR="00E22D77" w:rsidRPr="00E22D77">
        <w:rPr>
          <w:noProof/>
          <w:spacing w:val="-4"/>
        </w:rPr>
        <w:t xml:space="preserve"> o </w:t>
      </w:r>
      <w:r w:rsidRPr="00E22D77">
        <w:rPr>
          <w:noProof/>
          <w:spacing w:val="-4"/>
        </w:rPr>
        <w:t>položkách</w:t>
      </w:r>
      <w:r w:rsidR="00E22D77" w:rsidRPr="00E22D77">
        <w:rPr>
          <w:noProof/>
          <w:spacing w:val="-4"/>
        </w:rPr>
        <w:t xml:space="preserve"> s </w:t>
      </w:r>
      <w:r w:rsidRPr="00E22D77">
        <w:rPr>
          <w:noProof/>
          <w:spacing w:val="-4"/>
        </w:rPr>
        <w:t>dvojakým použitím“)</w:t>
      </w:r>
      <w:r w:rsidRPr="00E22D77">
        <w:rPr>
          <w:rFonts w:eastAsia="Times New Roman" w:cs="Times New Roman"/>
          <w:noProof/>
          <w:spacing w:val="-4"/>
          <w:szCs w:val="24"/>
          <w:vertAlign w:val="superscript"/>
        </w:rPr>
        <w:footnoteReference w:id="4"/>
      </w:r>
      <w:r w:rsidRPr="00E22D77">
        <w:rPr>
          <w:noProof/>
          <w:spacing w:val="-4"/>
        </w:rPr>
        <w:t>, ktorým sa</w:t>
      </w:r>
      <w:r w:rsidR="00E22D77" w:rsidRPr="00E22D77">
        <w:rPr>
          <w:noProof/>
          <w:spacing w:val="-4"/>
        </w:rPr>
        <w:t xml:space="preserve"> v </w:t>
      </w:r>
      <w:r w:rsidRPr="00E22D77">
        <w:rPr>
          <w:noProof/>
          <w:spacing w:val="-4"/>
        </w:rPr>
        <w:t>roku 2021 výrazne zrevidovali pravidlá EÚ týkajúce sa položiek</w:t>
      </w:r>
      <w:r w:rsidR="00E22D77" w:rsidRPr="00E22D77">
        <w:rPr>
          <w:noProof/>
          <w:spacing w:val="-4"/>
        </w:rPr>
        <w:t xml:space="preserve"> s </w:t>
      </w:r>
      <w:r w:rsidRPr="00E22D77">
        <w:rPr>
          <w:noProof/>
          <w:spacing w:val="-4"/>
        </w:rPr>
        <w:t>dvojakým použitím. Táto revízia zohľadňuje rýchly technologický vývoj</w:t>
      </w:r>
      <w:r w:rsidR="00E22D77" w:rsidRPr="00E22D77">
        <w:rPr>
          <w:noProof/>
          <w:spacing w:val="-4"/>
        </w:rPr>
        <w:t xml:space="preserve"> a </w:t>
      </w:r>
      <w:r w:rsidRPr="00E22D77">
        <w:rPr>
          <w:noProof/>
          <w:spacing w:val="-4"/>
        </w:rPr>
        <w:t>rastúcu militarizáciu vznikajúcich technológií, zabezpečuje účinnejšie vykonávanie</w:t>
      </w:r>
      <w:r w:rsidR="00E22D77" w:rsidRPr="00E22D77">
        <w:rPr>
          <w:noProof/>
          <w:spacing w:val="-4"/>
        </w:rPr>
        <w:t xml:space="preserve"> a </w:t>
      </w:r>
      <w:r w:rsidRPr="00E22D77">
        <w:rPr>
          <w:noProof/>
          <w:spacing w:val="-4"/>
        </w:rPr>
        <w:t>zvyšuje koordináciu medzi vnútroštátnymi orgánmi členských štátov EÚ na kontrolu vývozu, ako aj</w:t>
      </w:r>
      <w:r w:rsidR="00E22D77" w:rsidRPr="00E22D77">
        <w:rPr>
          <w:noProof/>
          <w:spacing w:val="-4"/>
        </w:rPr>
        <w:t xml:space="preserve"> s </w:t>
      </w:r>
      <w:r w:rsidRPr="00E22D77">
        <w:rPr>
          <w:noProof/>
          <w:spacing w:val="-4"/>
        </w:rPr>
        <w:t>Európskou komisiou.</w:t>
      </w:r>
    </w:p>
    <w:p w14:paraId="137B930B" w14:textId="1E92AC9E" w:rsidR="00E22D77" w:rsidRDefault="000A37D7" w:rsidP="000A37D7">
      <w:pPr>
        <w:spacing w:before="120" w:after="120" w:line="240" w:lineRule="auto"/>
        <w:rPr>
          <w:noProof/>
        </w:rPr>
      </w:pPr>
      <w:r w:rsidRPr="00E22D77">
        <w:rPr>
          <w:noProof/>
        </w:rPr>
        <w:t>Od nadobudnutia účinnosti nariadenia</w:t>
      </w:r>
      <w:r w:rsidR="00E22D77">
        <w:rPr>
          <w:noProof/>
        </w:rPr>
        <w:t xml:space="preserve"> o </w:t>
      </w:r>
      <w:r w:rsidRPr="00E22D77">
        <w:rPr>
          <w:noProof/>
        </w:rPr>
        <w:t>položkách</w:t>
      </w:r>
      <w:r w:rsidR="00E22D77">
        <w:rPr>
          <w:noProof/>
        </w:rPr>
        <w:t xml:space="preserve"> s </w:t>
      </w:r>
      <w:r w:rsidRPr="00E22D77">
        <w:rPr>
          <w:noProof/>
        </w:rPr>
        <w:t>dvojakým použitím sa globálny kontext kontroly vývozu zásadne zmenil. Ruská útočná vojna proti Ukrajine sa stretla</w:t>
      </w:r>
      <w:r w:rsidR="00E22D77">
        <w:rPr>
          <w:noProof/>
        </w:rPr>
        <w:t xml:space="preserve"> s </w:t>
      </w:r>
      <w:r w:rsidRPr="00E22D77">
        <w:rPr>
          <w:noProof/>
        </w:rPr>
        <w:t>bezprecedentným</w:t>
      </w:r>
      <w:r w:rsidR="00E22D77">
        <w:rPr>
          <w:noProof/>
        </w:rPr>
        <w:t xml:space="preserve"> a </w:t>
      </w:r>
      <w:r w:rsidRPr="00E22D77">
        <w:rPr>
          <w:noProof/>
        </w:rPr>
        <w:t>rýchlym zavedením sankcií. To zahŕňa rýchle zavedenie vývozných obmedzení na položky</w:t>
      </w:r>
      <w:r w:rsidR="00E22D77">
        <w:rPr>
          <w:noProof/>
        </w:rPr>
        <w:t xml:space="preserve"> s </w:t>
      </w:r>
      <w:r w:rsidRPr="00E22D77">
        <w:rPr>
          <w:noProof/>
        </w:rPr>
        <w:t>dvojakým použitím</w:t>
      </w:r>
      <w:r w:rsidR="00E22D77">
        <w:rPr>
          <w:noProof/>
        </w:rPr>
        <w:t xml:space="preserve"> a </w:t>
      </w:r>
      <w:r w:rsidRPr="00E22D77">
        <w:rPr>
          <w:noProof/>
        </w:rPr>
        <w:t>citlivé položky, ktoré sú rozhodujúce pre obmedzenie dlhodobého vojnového úsilia Ruska. Tým sa preukázala potreba, aby EÚ mala systém kontrol vývozu, ktorý môže priniesť rýchle</w:t>
      </w:r>
      <w:r w:rsidR="00E22D77">
        <w:rPr>
          <w:noProof/>
        </w:rPr>
        <w:t xml:space="preserve"> a </w:t>
      </w:r>
      <w:r w:rsidRPr="00E22D77">
        <w:rPr>
          <w:noProof/>
        </w:rPr>
        <w:t>jednotné výsledky</w:t>
      </w:r>
      <w:r w:rsidR="00E22D77">
        <w:rPr>
          <w:noProof/>
        </w:rPr>
        <w:t>.</w:t>
      </w:r>
    </w:p>
    <w:p w14:paraId="467483FB" w14:textId="7C71078B" w:rsidR="00E22D77" w:rsidRDefault="000A37D7" w:rsidP="000A37D7">
      <w:pPr>
        <w:spacing w:before="120" w:after="120" w:line="240" w:lineRule="auto"/>
        <w:rPr>
          <w:noProof/>
        </w:rPr>
      </w:pPr>
      <w:r w:rsidRPr="00E22D77">
        <w:rPr>
          <w:noProof/>
        </w:rPr>
        <w:t>Hoci sa na technickej úrovni vykonala dôležitá práca, niektorí členovia zároveň brzdia schopnosť multilaterálnych režimov kontroly vývozu prijímať nové rozhodnutia</w:t>
      </w:r>
      <w:r w:rsidR="00E22D77">
        <w:rPr>
          <w:noProof/>
        </w:rPr>
        <w:t xml:space="preserve"> o </w:t>
      </w:r>
      <w:r w:rsidRPr="00E22D77">
        <w:rPr>
          <w:noProof/>
        </w:rPr>
        <w:t>položkách podliehajúcich kontrolám</w:t>
      </w:r>
      <w:r w:rsidR="00E22D77">
        <w:rPr>
          <w:noProof/>
        </w:rPr>
        <w:t xml:space="preserve"> a </w:t>
      </w:r>
      <w:r w:rsidRPr="00E22D77">
        <w:rPr>
          <w:noProof/>
        </w:rPr>
        <w:t>držať krok</w:t>
      </w:r>
      <w:r w:rsidR="00E22D77">
        <w:rPr>
          <w:noProof/>
        </w:rPr>
        <w:t xml:space="preserve"> s </w:t>
      </w:r>
      <w:r w:rsidRPr="00E22D77">
        <w:rPr>
          <w:noProof/>
        </w:rPr>
        <w:t>technologickým vývojom, čím sa vytvorili medzery</w:t>
      </w:r>
      <w:r w:rsidR="00E22D77">
        <w:rPr>
          <w:noProof/>
        </w:rPr>
        <w:t xml:space="preserve"> v </w:t>
      </w:r>
      <w:r w:rsidRPr="00E22D77">
        <w:rPr>
          <w:noProof/>
        </w:rPr>
        <w:t>prijímaní nových kontrol vývozu na multilaterálnej úrovni</w:t>
      </w:r>
      <w:r w:rsidR="00E22D77">
        <w:rPr>
          <w:noProof/>
        </w:rPr>
        <w:t>.</w:t>
      </w:r>
    </w:p>
    <w:p w14:paraId="17623001" w14:textId="385441EE" w:rsidR="000A37D7" w:rsidRPr="00E22D77" w:rsidRDefault="000A37D7" w:rsidP="000A37D7">
      <w:pPr>
        <w:spacing w:before="120" w:after="120" w:line="240" w:lineRule="auto"/>
        <w:rPr>
          <w:rFonts w:eastAsia="Times New Roman" w:cs="Times New Roman"/>
          <w:noProof/>
          <w:szCs w:val="24"/>
        </w:rPr>
      </w:pPr>
      <w:r w:rsidRPr="00E22D77">
        <w:rPr>
          <w:noProof/>
        </w:rPr>
        <w:t>Napokon došlo</w:t>
      </w:r>
      <w:r w:rsidR="00E22D77">
        <w:rPr>
          <w:noProof/>
        </w:rPr>
        <w:t xml:space="preserve"> k </w:t>
      </w:r>
      <w:r w:rsidRPr="00E22D77">
        <w:rPr>
          <w:noProof/>
        </w:rPr>
        <w:t>znásobeniu nových vnútroštátnych kontrol vznikajúcich</w:t>
      </w:r>
      <w:r w:rsidR="00E22D77">
        <w:rPr>
          <w:noProof/>
        </w:rPr>
        <w:t xml:space="preserve"> a </w:t>
      </w:r>
      <w:r w:rsidRPr="00E22D77">
        <w:rPr>
          <w:noProof/>
        </w:rPr>
        <w:t>pokročilých citlivých technológií zo strany niektorých krajín vrátane členských štátov EÚ mimo multilaterálneho rámca, čo vytvára riziko nesúrodej škály kontrolných opatrení</w:t>
      </w:r>
      <w:r w:rsidR="00E22D77">
        <w:rPr>
          <w:noProof/>
        </w:rPr>
        <w:t xml:space="preserve"> v </w:t>
      </w:r>
      <w:r w:rsidRPr="00E22D77">
        <w:rPr>
          <w:noProof/>
        </w:rPr>
        <w:t>rámci EÚ</w:t>
      </w:r>
      <w:r w:rsidR="00E22D77">
        <w:rPr>
          <w:noProof/>
        </w:rPr>
        <w:t xml:space="preserve"> a </w:t>
      </w:r>
      <w:r w:rsidRPr="00E22D77">
        <w:rPr>
          <w:noProof/>
        </w:rPr>
        <w:t>fragmentácie jednotného trhu. Tento vývoj vystavil členské štáty geopolitickému tlaku</w:t>
      </w:r>
      <w:r w:rsidR="00E22D77">
        <w:rPr>
          <w:noProof/>
        </w:rPr>
        <w:t xml:space="preserve"> a </w:t>
      </w:r>
      <w:r w:rsidRPr="00E22D77">
        <w:rPr>
          <w:noProof/>
        </w:rPr>
        <w:t>vyvolal otázky týkajúce sa primeranosti súčasného rámca EÚ na kontrolu vývozu</w:t>
      </w:r>
      <w:r w:rsidR="00E22D77">
        <w:rPr>
          <w:noProof/>
        </w:rPr>
        <w:t xml:space="preserve"> v </w:t>
      </w:r>
      <w:r w:rsidRPr="00E22D77">
        <w:rPr>
          <w:noProof/>
        </w:rPr>
        <w:t>súvislosti</w:t>
      </w:r>
      <w:r w:rsidR="00E22D77">
        <w:rPr>
          <w:noProof/>
        </w:rPr>
        <w:t xml:space="preserve"> s </w:t>
      </w:r>
      <w:r w:rsidRPr="00E22D77">
        <w:rPr>
          <w:noProof/>
        </w:rPr>
        <w:t>účinným prispievaním</w:t>
      </w:r>
      <w:r w:rsidR="00E22D77">
        <w:rPr>
          <w:noProof/>
        </w:rPr>
        <w:t xml:space="preserve"> k </w:t>
      </w:r>
      <w:r w:rsidRPr="00E22D77">
        <w:rPr>
          <w:noProof/>
        </w:rPr>
        <w:t>bezpečnosti EÚ</w:t>
      </w:r>
      <w:r w:rsidR="00E22D77">
        <w:rPr>
          <w:noProof/>
        </w:rPr>
        <w:t xml:space="preserve"> a </w:t>
      </w:r>
      <w:r w:rsidRPr="00E22D77">
        <w:rPr>
          <w:noProof/>
        </w:rPr>
        <w:t>jej členských štátov.</w:t>
      </w:r>
    </w:p>
    <w:p w14:paraId="2CD84CD6" w14:textId="4844A72A" w:rsidR="000A37D7" w:rsidRPr="00E22D77" w:rsidRDefault="000A37D7" w:rsidP="000A37D7">
      <w:pPr>
        <w:spacing w:before="120" w:after="120" w:line="240" w:lineRule="auto"/>
        <w:rPr>
          <w:rFonts w:eastAsia="Times New Roman" w:cs="Times New Roman"/>
          <w:noProof/>
          <w:szCs w:val="24"/>
        </w:rPr>
      </w:pPr>
      <w:r w:rsidRPr="00E22D77">
        <w:rPr>
          <w:noProof/>
        </w:rPr>
        <w:lastRenderedPageBreak/>
        <w:t>V tejto súvislosti Komisia</w:t>
      </w:r>
      <w:r w:rsidR="00E22D77">
        <w:rPr>
          <w:noProof/>
        </w:rPr>
        <w:t xml:space="preserve"> a </w:t>
      </w:r>
      <w:r w:rsidRPr="00E22D77">
        <w:rPr>
          <w:noProof/>
        </w:rPr>
        <w:t>vysoký predstaviteľ prijali 20</w:t>
      </w:r>
      <w:r w:rsidR="00E22D77">
        <w:rPr>
          <w:noProof/>
        </w:rPr>
        <w:t>. júna</w:t>
      </w:r>
      <w:r w:rsidRPr="00E22D77">
        <w:rPr>
          <w:noProof/>
        </w:rPr>
        <w:t xml:space="preserve"> 2023 oznámenie</w:t>
      </w:r>
      <w:r w:rsidR="00E22D77">
        <w:rPr>
          <w:noProof/>
        </w:rPr>
        <w:t xml:space="preserve"> o </w:t>
      </w:r>
      <w:r w:rsidRPr="00E22D77">
        <w:rPr>
          <w:noProof/>
        </w:rPr>
        <w:t>európskej stratégii hospodárskej bezpečnosti</w:t>
      </w:r>
      <w:r w:rsidR="00290362" w:rsidRPr="00E22D77">
        <w:rPr>
          <w:rFonts w:eastAsia="Times New Roman" w:cs="Times New Roman"/>
          <w:noProof/>
          <w:szCs w:val="24"/>
          <w:vertAlign w:val="superscript"/>
        </w:rPr>
        <w:footnoteReference w:id="5"/>
      </w:r>
      <w:r w:rsidRPr="00E22D77">
        <w:rPr>
          <w:noProof/>
        </w:rPr>
        <w:t>. Vyzýva na rýchlejšie</w:t>
      </w:r>
      <w:r w:rsidR="00E22D77">
        <w:rPr>
          <w:noProof/>
        </w:rPr>
        <w:t xml:space="preserve"> a </w:t>
      </w:r>
      <w:r w:rsidRPr="00E22D77">
        <w:rPr>
          <w:noProof/>
        </w:rPr>
        <w:t>koordinovanejšie opatrenia na úrovni EÚ</w:t>
      </w:r>
      <w:r w:rsidR="00E22D77">
        <w:rPr>
          <w:noProof/>
        </w:rPr>
        <w:t xml:space="preserve"> v </w:t>
      </w:r>
      <w:r w:rsidRPr="00E22D77">
        <w:rPr>
          <w:noProof/>
        </w:rPr>
        <w:t>oblasti kontrol vývozu položiek</w:t>
      </w:r>
      <w:r w:rsidR="00E22D77">
        <w:rPr>
          <w:noProof/>
        </w:rPr>
        <w:t xml:space="preserve"> s </w:t>
      </w:r>
      <w:r w:rsidRPr="00E22D77">
        <w:rPr>
          <w:noProof/>
        </w:rPr>
        <w:t>dvojakým použitím</w:t>
      </w:r>
      <w:r w:rsidR="00E22D77">
        <w:rPr>
          <w:noProof/>
        </w:rPr>
        <w:t xml:space="preserve"> a </w:t>
      </w:r>
      <w:r w:rsidRPr="00E22D77">
        <w:rPr>
          <w:noProof/>
        </w:rPr>
        <w:t>plné využívanie možností, ktoré ponúka nariadenie</w:t>
      </w:r>
      <w:r w:rsidR="00E22D77">
        <w:rPr>
          <w:noProof/>
        </w:rPr>
        <w:t xml:space="preserve"> o </w:t>
      </w:r>
      <w:r w:rsidRPr="00E22D77">
        <w:rPr>
          <w:noProof/>
        </w:rPr>
        <w:t>položkách</w:t>
      </w:r>
      <w:r w:rsidR="00E22D77">
        <w:rPr>
          <w:noProof/>
        </w:rPr>
        <w:t xml:space="preserve"> s </w:t>
      </w:r>
      <w:r w:rsidRPr="00E22D77">
        <w:rPr>
          <w:noProof/>
        </w:rPr>
        <w:t>dvojakým použitím.</w:t>
      </w:r>
    </w:p>
    <w:p w14:paraId="0108899C" w14:textId="518EFF60" w:rsidR="000A37D7" w:rsidRPr="00E22D77" w:rsidRDefault="000A37D7" w:rsidP="000A37D7">
      <w:pPr>
        <w:spacing w:before="120" w:after="120" w:line="240" w:lineRule="auto"/>
        <w:rPr>
          <w:rFonts w:eastAsia="Times New Roman" w:cs="Times New Roman"/>
          <w:noProof/>
          <w:szCs w:val="24"/>
        </w:rPr>
      </w:pPr>
      <w:r w:rsidRPr="00E22D77">
        <w:rPr>
          <w:noProof/>
        </w:rPr>
        <w:t>Táto biela kniha je odpoveďou na uvedenú výzvu. Analyzuje sa</w:t>
      </w:r>
      <w:r w:rsidR="00E22D77">
        <w:rPr>
          <w:noProof/>
        </w:rPr>
        <w:t xml:space="preserve"> v </w:t>
      </w:r>
      <w:r w:rsidRPr="00E22D77">
        <w:rPr>
          <w:noProof/>
        </w:rPr>
        <w:t>nej súčasná situácia</w:t>
      </w:r>
      <w:r w:rsidR="00E22D77">
        <w:rPr>
          <w:noProof/>
        </w:rPr>
        <w:t xml:space="preserve"> a </w:t>
      </w:r>
      <w:r w:rsidRPr="00E22D77">
        <w:rPr>
          <w:noProof/>
        </w:rPr>
        <w:t>predkladá sa niekoľko návrhov na riešenie súčasných výziev</w:t>
      </w:r>
      <w:r w:rsidR="00E22D77">
        <w:rPr>
          <w:noProof/>
        </w:rPr>
        <w:t xml:space="preserve"> s </w:t>
      </w:r>
      <w:r w:rsidRPr="00E22D77">
        <w:rPr>
          <w:noProof/>
        </w:rPr>
        <w:t>cieľom podporiť jednotné</w:t>
      </w:r>
      <w:r w:rsidR="00E22D77">
        <w:rPr>
          <w:noProof/>
        </w:rPr>
        <w:t xml:space="preserve"> a </w:t>
      </w:r>
      <w:r w:rsidRPr="00E22D77">
        <w:rPr>
          <w:noProof/>
        </w:rPr>
        <w:t>účinné kontroly</w:t>
      </w:r>
      <w:r w:rsidR="00E22D77">
        <w:rPr>
          <w:noProof/>
        </w:rPr>
        <w:t xml:space="preserve"> v </w:t>
      </w:r>
      <w:r w:rsidRPr="00E22D77">
        <w:rPr>
          <w:noProof/>
        </w:rPr>
        <w:t>celej EÚ, ako aj otvoriť diskusiu</w:t>
      </w:r>
      <w:r w:rsidR="00E22D77">
        <w:rPr>
          <w:noProof/>
        </w:rPr>
        <w:t xml:space="preserve"> s </w:t>
      </w:r>
      <w:r w:rsidRPr="00E22D77">
        <w:rPr>
          <w:noProof/>
        </w:rPr>
        <w:t>členskými štátmi, Európskym parlamentom</w:t>
      </w:r>
      <w:r w:rsidR="00E22D77">
        <w:rPr>
          <w:noProof/>
        </w:rPr>
        <w:t xml:space="preserve"> a </w:t>
      </w:r>
      <w:r w:rsidRPr="00E22D77">
        <w:rPr>
          <w:noProof/>
        </w:rPr>
        <w:t>zainteresovanými stranami vrátane podnikateľskej komunity</w:t>
      </w:r>
      <w:r w:rsidR="00E22D77">
        <w:rPr>
          <w:noProof/>
        </w:rPr>
        <w:t xml:space="preserve"> o </w:t>
      </w:r>
      <w:r w:rsidRPr="00E22D77">
        <w:rPr>
          <w:noProof/>
        </w:rPr>
        <w:t>hodnotení fungovania nariadenia</w:t>
      </w:r>
      <w:r w:rsidR="00E22D77">
        <w:rPr>
          <w:noProof/>
        </w:rPr>
        <w:t xml:space="preserve"> o </w:t>
      </w:r>
      <w:r w:rsidRPr="00E22D77">
        <w:rPr>
          <w:noProof/>
        </w:rPr>
        <w:t>položkách</w:t>
      </w:r>
      <w:r w:rsidR="00E22D77">
        <w:rPr>
          <w:noProof/>
        </w:rPr>
        <w:t xml:space="preserve"> s </w:t>
      </w:r>
      <w:r w:rsidRPr="00E22D77">
        <w:rPr>
          <w:noProof/>
        </w:rPr>
        <w:t>dvojakým použitím</w:t>
      </w:r>
      <w:r w:rsidR="00E22D77">
        <w:rPr>
          <w:noProof/>
        </w:rPr>
        <w:t xml:space="preserve"> a </w:t>
      </w:r>
      <w:r w:rsidRPr="00E22D77">
        <w:rPr>
          <w:noProof/>
        </w:rPr>
        <w:t>schopnosti súčasného rámca účinne plniť súčasné</w:t>
      </w:r>
      <w:r w:rsidR="00E22D77">
        <w:rPr>
          <w:noProof/>
        </w:rPr>
        <w:t xml:space="preserve"> a </w:t>
      </w:r>
      <w:r w:rsidRPr="00E22D77">
        <w:rPr>
          <w:noProof/>
        </w:rPr>
        <w:t>budúce bezpečnostné potreby EÚ.</w:t>
      </w:r>
    </w:p>
    <w:p w14:paraId="3F93CD4F" w14:textId="7FD5493A" w:rsidR="000A37D7" w:rsidRPr="00E22D77" w:rsidRDefault="000A37D7" w:rsidP="000A37D7">
      <w:pPr>
        <w:keepNext/>
        <w:numPr>
          <w:ilvl w:val="0"/>
          <w:numId w:val="12"/>
        </w:numPr>
        <w:spacing w:before="360" w:after="120" w:line="240" w:lineRule="auto"/>
        <w:ind w:left="432" w:hanging="432"/>
        <w:outlineLvl w:val="0"/>
        <w:rPr>
          <w:rFonts w:eastAsia="Times New Roman" w:cs="Times New Roman"/>
          <w:b/>
          <w:bCs/>
          <w:smallCaps/>
          <w:noProof/>
          <w:szCs w:val="24"/>
        </w:rPr>
      </w:pPr>
      <w:bookmarkStart w:id="5" w:name="_Toc156899398"/>
      <w:bookmarkStart w:id="6" w:name="_Toc158197720"/>
      <w:r w:rsidRPr="00E22D77">
        <w:rPr>
          <w:b/>
          <w:smallCaps/>
          <w:noProof/>
        </w:rPr>
        <w:t>Aktuálny stav vykonávania nariadenia</w:t>
      </w:r>
      <w:r w:rsidR="00E22D77">
        <w:rPr>
          <w:b/>
          <w:smallCaps/>
          <w:noProof/>
        </w:rPr>
        <w:t xml:space="preserve"> o </w:t>
      </w:r>
      <w:r w:rsidRPr="00E22D77">
        <w:rPr>
          <w:b/>
          <w:smallCaps/>
          <w:noProof/>
        </w:rPr>
        <w:t>položkách</w:t>
      </w:r>
      <w:r w:rsidR="00E22D77">
        <w:rPr>
          <w:b/>
          <w:smallCaps/>
          <w:noProof/>
        </w:rPr>
        <w:t xml:space="preserve"> s </w:t>
      </w:r>
      <w:r w:rsidRPr="00E22D77">
        <w:rPr>
          <w:b/>
          <w:smallCaps/>
          <w:noProof/>
        </w:rPr>
        <w:t>dvojakým použitím</w:t>
      </w:r>
      <w:r w:rsidR="00E22D77">
        <w:rPr>
          <w:b/>
          <w:smallCaps/>
          <w:noProof/>
        </w:rPr>
        <w:t xml:space="preserve"> z </w:t>
      </w:r>
      <w:r w:rsidRPr="00E22D77">
        <w:rPr>
          <w:b/>
          <w:smallCaps/>
          <w:noProof/>
        </w:rPr>
        <w:t>roku 2021</w:t>
      </w:r>
      <w:bookmarkEnd w:id="5"/>
      <w:bookmarkEnd w:id="6"/>
    </w:p>
    <w:p w14:paraId="24382CEA" w14:textId="47AE8281" w:rsidR="000A37D7" w:rsidRPr="00E22D77" w:rsidRDefault="000A37D7" w:rsidP="000A37D7">
      <w:pPr>
        <w:spacing w:before="120" w:after="120" w:line="240" w:lineRule="auto"/>
        <w:rPr>
          <w:rFonts w:eastAsia="Times New Roman" w:cs="Times New Roman"/>
          <w:noProof/>
          <w:szCs w:val="24"/>
        </w:rPr>
      </w:pPr>
      <w:r w:rsidRPr="00E22D77">
        <w:rPr>
          <w:noProof/>
        </w:rPr>
        <w:t>Nariadením</w:t>
      </w:r>
      <w:r w:rsidR="00E22D77">
        <w:rPr>
          <w:noProof/>
        </w:rPr>
        <w:t xml:space="preserve"> o </w:t>
      </w:r>
      <w:r w:rsidRPr="00E22D77">
        <w:rPr>
          <w:noProof/>
        </w:rPr>
        <w:t>položkách</w:t>
      </w:r>
      <w:r w:rsidR="00E22D77">
        <w:rPr>
          <w:noProof/>
        </w:rPr>
        <w:t xml:space="preserve"> s </w:t>
      </w:r>
      <w:r w:rsidRPr="00E22D77">
        <w:rPr>
          <w:noProof/>
        </w:rPr>
        <w:t>dvojakým použitím sa posilnila schopnosť EÚ riešiť vyvíjajúce sa bezpečnostné prostredie, rýchly technologický vývoj</w:t>
      </w:r>
      <w:r w:rsidR="00E22D77">
        <w:rPr>
          <w:noProof/>
        </w:rPr>
        <w:t xml:space="preserve"> a </w:t>
      </w:r>
      <w:r w:rsidRPr="00E22D77">
        <w:rPr>
          <w:noProof/>
        </w:rPr>
        <w:t>vývoj globálnych dodávateľských reťazcov</w:t>
      </w:r>
      <w:r w:rsidR="00E22D77">
        <w:rPr>
          <w:noProof/>
        </w:rPr>
        <w:t xml:space="preserve"> a </w:t>
      </w:r>
      <w:r w:rsidRPr="00E22D77">
        <w:rPr>
          <w:noProof/>
        </w:rPr>
        <w:t>medzinárodného obchodu.</w:t>
      </w:r>
    </w:p>
    <w:p w14:paraId="1A1FCA74" w14:textId="0326DEC0" w:rsidR="000A37D7" w:rsidRPr="00E22D77" w:rsidRDefault="000A37D7" w:rsidP="000A37D7">
      <w:pPr>
        <w:spacing w:before="120" w:after="120" w:line="240" w:lineRule="auto"/>
        <w:rPr>
          <w:rFonts w:eastAsia="Times New Roman" w:cs="Times New Roman"/>
          <w:noProof/>
          <w:szCs w:val="24"/>
        </w:rPr>
      </w:pPr>
      <w:r w:rsidRPr="00E22D77">
        <w:rPr>
          <w:noProof/>
        </w:rPr>
        <w:t>Obsahuje nové ustanovenia na posilnenie koordinácie medzi členskými štátmi pri zavádzaní nových kontrol EÚ</w:t>
      </w:r>
      <w:r w:rsidR="00E22D77">
        <w:rPr>
          <w:noProof/>
        </w:rPr>
        <w:t xml:space="preserve"> v </w:t>
      </w:r>
      <w:r w:rsidRPr="00E22D77">
        <w:rPr>
          <w:noProof/>
        </w:rPr>
        <w:t>oblasti kybernetického dohľadu</w:t>
      </w:r>
      <w:r w:rsidR="00E22D77">
        <w:rPr>
          <w:noProof/>
        </w:rPr>
        <w:t xml:space="preserve"> a </w:t>
      </w:r>
      <w:r w:rsidRPr="00E22D77">
        <w:rPr>
          <w:noProof/>
        </w:rPr>
        <w:t>vznikajúcich technológií na uľahčenie nízkorizikového obchodovania</w:t>
      </w:r>
      <w:r w:rsidR="00E22D77">
        <w:rPr>
          <w:noProof/>
        </w:rPr>
        <w:t xml:space="preserve"> s </w:t>
      </w:r>
      <w:r w:rsidRPr="00E22D77">
        <w:rPr>
          <w:noProof/>
        </w:rPr>
        <w:t>položkami</w:t>
      </w:r>
      <w:r w:rsidR="00E22D77">
        <w:rPr>
          <w:noProof/>
        </w:rPr>
        <w:t xml:space="preserve"> s </w:t>
      </w:r>
      <w:r w:rsidRPr="00E22D77">
        <w:rPr>
          <w:noProof/>
        </w:rPr>
        <w:t>dvojakým použitím, zlepšenie výmeny informácií medzi členskými štátmi</w:t>
      </w:r>
      <w:r w:rsidR="00E22D77">
        <w:rPr>
          <w:noProof/>
        </w:rPr>
        <w:t xml:space="preserve"> a s </w:t>
      </w:r>
      <w:r w:rsidRPr="00E22D77">
        <w:rPr>
          <w:noProof/>
        </w:rPr>
        <w:t>Komisiou (a to aj prostredníctvom vytvorenia špecializovanej elektronickej licenčnej platformy EÚ). Jeho cieľom je aj väčšia transparentnosť vnútroštátnych rozhodnutí</w:t>
      </w:r>
      <w:r w:rsidR="00E22D77">
        <w:rPr>
          <w:noProof/>
        </w:rPr>
        <w:t xml:space="preserve"> o </w:t>
      </w:r>
      <w:r w:rsidRPr="00E22D77">
        <w:rPr>
          <w:noProof/>
        </w:rPr>
        <w:t>vydávaní licencií členskými štátmi EÚ, ako aj konzistentnosť pri vykonávaní</w:t>
      </w:r>
      <w:r w:rsidR="00E22D77">
        <w:rPr>
          <w:noProof/>
        </w:rPr>
        <w:t xml:space="preserve"> a </w:t>
      </w:r>
      <w:r w:rsidRPr="00E22D77">
        <w:rPr>
          <w:noProof/>
        </w:rPr>
        <w:t>presadzovaní kontrol.</w:t>
      </w:r>
    </w:p>
    <w:p w14:paraId="50A67585" w14:textId="7142CBC0" w:rsidR="000A37D7" w:rsidRPr="00E22D77" w:rsidRDefault="000A37D7" w:rsidP="000A37D7">
      <w:pPr>
        <w:spacing w:before="120" w:after="120" w:line="240" w:lineRule="auto"/>
        <w:rPr>
          <w:rFonts w:eastAsia="Times New Roman" w:cs="Times New Roman"/>
          <w:noProof/>
          <w:szCs w:val="24"/>
        </w:rPr>
      </w:pPr>
      <w:r w:rsidRPr="00E22D77">
        <w:rPr>
          <w:noProof/>
        </w:rPr>
        <w:t>Tento vývoj dopĺňajú opatrenia na podporu vývozcov</w:t>
      </w:r>
      <w:r w:rsidR="00E22D77">
        <w:rPr>
          <w:noProof/>
        </w:rPr>
        <w:t xml:space="preserve"> z </w:t>
      </w:r>
      <w:r w:rsidRPr="00E22D77">
        <w:rPr>
          <w:noProof/>
        </w:rPr>
        <w:t>EÚ vrátane nových všeobecných vývozných povolení EÚ pre šifrovacie technológie</w:t>
      </w:r>
      <w:r w:rsidR="00E22D77">
        <w:rPr>
          <w:noProof/>
        </w:rPr>
        <w:t xml:space="preserve"> a </w:t>
      </w:r>
      <w:r w:rsidRPr="00E22D77">
        <w:rPr>
          <w:noProof/>
        </w:rPr>
        <w:t>transfery technológií</w:t>
      </w:r>
      <w:r w:rsidR="00E22D77">
        <w:rPr>
          <w:noProof/>
        </w:rPr>
        <w:t xml:space="preserve"> v </w:t>
      </w:r>
      <w:r w:rsidRPr="00E22D77">
        <w:rPr>
          <w:noProof/>
        </w:rPr>
        <w:t>rámci spoločnosti spolu</w:t>
      </w:r>
      <w:r w:rsidR="00E22D77">
        <w:rPr>
          <w:noProof/>
        </w:rPr>
        <w:t xml:space="preserve"> s </w:t>
      </w:r>
      <w:r w:rsidRPr="00E22D77">
        <w:rPr>
          <w:noProof/>
        </w:rPr>
        <w:t>efektívnejšími postupmi udeľovania licencií.</w:t>
      </w:r>
      <w:r w:rsidR="00E22D77">
        <w:rPr>
          <w:noProof/>
        </w:rPr>
        <w:t xml:space="preserve"> V </w:t>
      </w:r>
      <w:r w:rsidRPr="00E22D77">
        <w:rPr>
          <w:noProof/>
        </w:rPr>
        <w:t>nariadení sa uznáva aj kľúčová úloha priemyslu ako „prvej línie obrany“. Poveruje tiež Komisiu</w:t>
      </w:r>
      <w:r w:rsidR="00E22D77">
        <w:rPr>
          <w:noProof/>
        </w:rPr>
        <w:t xml:space="preserve"> a </w:t>
      </w:r>
      <w:r w:rsidRPr="00E22D77">
        <w:rPr>
          <w:noProof/>
        </w:rPr>
        <w:t>členské štáty, aby podporovali spoluprácu</w:t>
      </w:r>
      <w:r w:rsidR="00E22D77">
        <w:rPr>
          <w:noProof/>
        </w:rPr>
        <w:t xml:space="preserve"> s </w:t>
      </w:r>
      <w:r w:rsidRPr="00E22D77">
        <w:rPr>
          <w:noProof/>
        </w:rPr>
        <w:t>medzinárodnými partnermi</w:t>
      </w:r>
      <w:r w:rsidR="00E22D77">
        <w:rPr>
          <w:noProof/>
        </w:rPr>
        <w:t xml:space="preserve"> v </w:t>
      </w:r>
      <w:r w:rsidRPr="00E22D77">
        <w:rPr>
          <w:noProof/>
        </w:rPr>
        <w:t>snahe zachovať multilaterálne systémy kontroly vývozu ako kľúčové prvky medzinárodného obchodu</w:t>
      </w:r>
      <w:r w:rsidR="00E22D77">
        <w:rPr>
          <w:noProof/>
        </w:rPr>
        <w:t xml:space="preserve"> a </w:t>
      </w:r>
      <w:r w:rsidRPr="00E22D77">
        <w:rPr>
          <w:noProof/>
        </w:rPr>
        <w:t>bezpečnostnej infraštruktúry.</w:t>
      </w:r>
    </w:p>
    <w:p w14:paraId="0D306E80" w14:textId="1D957FE1" w:rsidR="00E22D77" w:rsidRDefault="000A37D7" w:rsidP="000A37D7">
      <w:pPr>
        <w:spacing w:before="120" w:after="120" w:line="240" w:lineRule="auto"/>
        <w:rPr>
          <w:noProof/>
        </w:rPr>
      </w:pPr>
      <w:r w:rsidRPr="00E22D77">
        <w:rPr>
          <w:noProof/>
        </w:rPr>
        <w:t>Opatrenia na zavedenie týchto ustanovení sa už vykonávajú. Komisia</w:t>
      </w:r>
      <w:r w:rsidR="00E22D77">
        <w:rPr>
          <w:noProof/>
        </w:rPr>
        <w:t xml:space="preserve"> a </w:t>
      </w:r>
      <w:r w:rsidRPr="00E22D77">
        <w:rPr>
          <w:noProof/>
        </w:rPr>
        <w:t>členské štáty vypracovali usmernenia týkajúce sa programov vnútorného súladu</w:t>
      </w:r>
      <w:r w:rsidR="00E22D77">
        <w:rPr>
          <w:noProof/>
        </w:rPr>
        <w:t xml:space="preserve"> a </w:t>
      </w:r>
      <w:r w:rsidRPr="00E22D77">
        <w:rPr>
          <w:noProof/>
        </w:rPr>
        <w:t>dodržiavania pravidiel výskumu, ako aj na zabezpečenie transparentnosti vnútroštátnych rozhodnutí</w:t>
      </w:r>
      <w:r w:rsidR="00E22D77">
        <w:rPr>
          <w:noProof/>
        </w:rPr>
        <w:t xml:space="preserve"> o </w:t>
      </w:r>
      <w:r w:rsidRPr="00E22D77">
        <w:rPr>
          <w:noProof/>
        </w:rPr>
        <w:t>udeľovaní licencií ako súčasť výročných správ členských štátov.</w:t>
      </w:r>
      <w:r w:rsidRPr="00E22D77">
        <w:rPr>
          <w:rFonts w:eastAsia="Times New Roman" w:cs="Times New Roman"/>
          <w:noProof/>
          <w:szCs w:val="24"/>
          <w:vertAlign w:val="superscript"/>
        </w:rPr>
        <w:footnoteReference w:id="6"/>
      </w:r>
      <w:r w:rsidRPr="00E22D77">
        <w:rPr>
          <w:noProof/>
        </w:rPr>
        <w:t xml:space="preserve"> </w:t>
      </w:r>
      <w:bookmarkStart w:id="7" w:name="_Hlk151988615"/>
      <w:r w:rsidRPr="00E22D77">
        <w:rPr>
          <w:noProof/>
        </w:rPr>
        <w:t>Komisia</w:t>
      </w:r>
      <w:r w:rsidR="00E22D77">
        <w:rPr>
          <w:noProof/>
        </w:rPr>
        <w:t xml:space="preserve"> a </w:t>
      </w:r>
      <w:r w:rsidRPr="00E22D77">
        <w:rPr>
          <w:noProof/>
        </w:rPr>
        <w:t>členské štáty vypracúvajú usmernenia na podporu náležitej starostlivosti vývozcov</w:t>
      </w:r>
      <w:r w:rsidR="00E22D77">
        <w:rPr>
          <w:noProof/>
        </w:rPr>
        <w:t xml:space="preserve"> a </w:t>
      </w:r>
      <w:r w:rsidRPr="00E22D77">
        <w:rPr>
          <w:noProof/>
        </w:rPr>
        <w:t>posilnenie kontrol vývozu položiek kybernetického dohľadu</w:t>
      </w:r>
      <w:r w:rsidRPr="00E22D77">
        <w:rPr>
          <w:rFonts w:eastAsia="Times New Roman" w:cs="Times New Roman"/>
          <w:noProof/>
          <w:szCs w:val="24"/>
          <w:vertAlign w:val="superscript"/>
        </w:rPr>
        <w:footnoteReference w:id="7"/>
      </w:r>
      <w:r w:rsidR="00E22D77">
        <w:rPr>
          <w:noProof/>
        </w:rPr>
        <w:t xml:space="preserve"> v </w:t>
      </w:r>
      <w:r w:rsidRPr="00E22D77">
        <w:rPr>
          <w:noProof/>
        </w:rPr>
        <w:t>rámci opatrení EÚ</w:t>
      </w:r>
      <w:r w:rsidR="00E22D77">
        <w:rPr>
          <w:noProof/>
        </w:rPr>
        <w:t xml:space="preserve"> s </w:t>
      </w:r>
      <w:r w:rsidRPr="00E22D77">
        <w:rPr>
          <w:noProof/>
        </w:rPr>
        <w:t>cieľom zabrániť využívaniu obchodu</w:t>
      </w:r>
      <w:r w:rsidR="00E22D77">
        <w:rPr>
          <w:noProof/>
        </w:rPr>
        <w:t xml:space="preserve"> </w:t>
      </w:r>
      <w:r w:rsidR="00E22D77">
        <w:rPr>
          <w:noProof/>
        </w:rPr>
        <w:lastRenderedPageBreak/>
        <w:t>v </w:t>
      </w:r>
      <w:r w:rsidRPr="00E22D77">
        <w:rPr>
          <w:noProof/>
        </w:rPr>
        <w:t>súvislosti</w:t>
      </w:r>
      <w:r w:rsidR="00E22D77">
        <w:rPr>
          <w:noProof/>
        </w:rPr>
        <w:t xml:space="preserve"> s </w:t>
      </w:r>
      <w:r w:rsidRPr="00E22D77">
        <w:rPr>
          <w:noProof/>
        </w:rPr>
        <w:t>vnútornou represiou a/alebo závažným porušovaním ľudských práv</w:t>
      </w:r>
      <w:r w:rsidR="00E22D77">
        <w:rPr>
          <w:noProof/>
        </w:rPr>
        <w:t xml:space="preserve"> a </w:t>
      </w:r>
      <w:r w:rsidRPr="00E22D77">
        <w:rPr>
          <w:noProof/>
        </w:rPr>
        <w:t>medzinárodného humanitárneho práva</w:t>
      </w:r>
      <w:r w:rsidRPr="00E22D77">
        <w:rPr>
          <w:rFonts w:eastAsia="Times New Roman" w:cs="Times New Roman"/>
          <w:noProof/>
          <w:szCs w:val="24"/>
          <w:vertAlign w:val="superscript"/>
        </w:rPr>
        <w:footnoteReference w:id="8"/>
      </w:r>
      <w:r w:rsidR="00E22D77">
        <w:rPr>
          <w:noProof/>
        </w:rPr>
        <w:t>.</w:t>
      </w:r>
    </w:p>
    <w:bookmarkEnd w:id="7"/>
    <w:p w14:paraId="540688FD" w14:textId="69B9BB62" w:rsidR="000A37D7" w:rsidRPr="00E22D77" w:rsidRDefault="000A37D7" w:rsidP="000A37D7">
      <w:pPr>
        <w:spacing w:before="120" w:after="120" w:line="240" w:lineRule="auto"/>
        <w:rPr>
          <w:rFonts w:eastAsia="Times New Roman" w:cs="Times New Roman"/>
          <w:noProof/>
          <w:szCs w:val="24"/>
        </w:rPr>
      </w:pPr>
      <w:r w:rsidRPr="00E22D77">
        <w:rPr>
          <w:noProof/>
        </w:rPr>
        <w:t>EÚ tiež zintenzívnila spoluprácu</w:t>
      </w:r>
      <w:r w:rsidR="00E22D77">
        <w:rPr>
          <w:noProof/>
        </w:rPr>
        <w:t xml:space="preserve"> s </w:t>
      </w:r>
      <w:r w:rsidRPr="00E22D77">
        <w:rPr>
          <w:noProof/>
        </w:rPr>
        <w:t>medzinárodnými partnermi ako súčasť svojho úsilia</w:t>
      </w:r>
      <w:r w:rsidR="00E22D77">
        <w:rPr>
          <w:noProof/>
        </w:rPr>
        <w:t xml:space="preserve"> o </w:t>
      </w:r>
      <w:r w:rsidRPr="00E22D77">
        <w:rPr>
          <w:noProof/>
        </w:rPr>
        <w:t>zachovanie medzinárodnej bezpečnosti, napríklad</w:t>
      </w:r>
      <w:r w:rsidR="00E22D77">
        <w:rPr>
          <w:noProof/>
        </w:rPr>
        <w:t xml:space="preserve"> v </w:t>
      </w:r>
      <w:r w:rsidRPr="00E22D77">
        <w:rPr>
          <w:noProof/>
        </w:rPr>
        <w:t>rámci Rady EÚ – USA pre obchod</w:t>
      </w:r>
      <w:r w:rsidR="00E22D77">
        <w:rPr>
          <w:noProof/>
        </w:rPr>
        <w:t xml:space="preserve"> a </w:t>
      </w:r>
      <w:r w:rsidRPr="00E22D77">
        <w:rPr>
          <w:noProof/>
        </w:rPr>
        <w:t>technológie</w:t>
      </w:r>
      <w:r w:rsidR="00E22D77">
        <w:rPr>
          <w:noProof/>
        </w:rPr>
        <w:t xml:space="preserve"> a </w:t>
      </w:r>
      <w:r w:rsidRPr="00E22D77">
        <w:rPr>
          <w:noProof/>
        </w:rPr>
        <w:t>pri rozvoji globálnej koalície, ktorá koordinuje obmedzenia vývozu citlivých položiek</w:t>
      </w:r>
      <w:r w:rsidR="00E22D77">
        <w:rPr>
          <w:noProof/>
        </w:rPr>
        <w:t xml:space="preserve"> v </w:t>
      </w:r>
      <w:r w:rsidRPr="00E22D77">
        <w:rPr>
          <w:noProof/>
        </w:rPr>
        <w:t>reakcii na rozsiahlu inváziu Ruska na Ukrajinu.</w:t>
      </w:r>
    </w:p>
    <w:p w14:paraId="19C23C03" w14:textId="460022C4" w:rsidR="000A37D7" w:rsidRPr="00E22D77" w:rsidRDefault="000A37D7" w:rsidP="000A37D7">
      <w:pPr>
        <w:spacing w:before="120" w:after="120" w:line="240" w:lineRule="auto"/>
        <w:rPr>
          <w:rFonts w:eastAsia="Times New Roman" w:cs="Times New Roman"/>
          <w:noProof/>
          <w:szCs w:val="24"/>
        </w:rPr>
      </w:pPr>
      <w:r w:rsidRPr="00E22D77">
        <w:rPr>
          <w:noProof/>
        </w:rPr>
        <w:t>Jedným</w:t>
      </w:r>
      <w:r w:rsidR="00E22D77">
        <w:rPr>
          <w:noProof/>
        </w:rPr>
        <w:t xml:space="preserve"> z </w:t>
      </w:r>
      <w:r w:rsidRPr="00E22D77">
        <w:rPr>
          <w:noProof/>
        </w:rPr>
        <w:t>najinovatívnejších prvkov nariadenia</w:t>
      </w:r>
      <w:r w:rsidR="00E22D77">
        <w:rPr>
          <w:noProof/>
        </w:rPr>
        <w:t xml:space="preserve"> o </w:t>
      </w:r>
      <w:r w:rsidRPr="00E22D77">
        <w:rPr>
          <w:noProof/>
        </w:rPr>
        <w:t>položkách</w:t>
      </w:r>
      <w:r w:rsidR="00E22D77">
        <w:rPr>
          <w:noProof/>
        </w:rPr>
        <w:t xml:space="preserve"> s </w:t>
      </w:r>
      <w:r w:rsidRPr="00E22D77">
        <w:rPr>
          <w:noProof/>
        </w:rPr>
        <w:t>dvojakým použitím bolo zavedenie mechanizmu (v článkoch 9</w:t>
      </w:r>
      <w:r w:rsidR="00E22D77">
        <w:rPr>
          <w:noProof/>
        </w:rPr>
        <w:t xml:space="preserve"> a </w:t>
      </w:r>
      <w:r w:rsidRPr="00E22D77">
        <w:rPr>
          <w:noProof/>
        </w:rPr>
        <w:t>10) na uľahčenie koordinácie vnútroštátnych kontrol vývozu na úrovni EÚ. Podrobnejšie sa to opisuje</w:t>
      </w:r>
      <w:r w:rsidR="00E22D77">
        <w:rPr>
          <w:noProof/>
        </w:rPr>
        <w:t xml:space="preserve"> v </w:t>
      </w:r>
      <w:r w:rsidRPr="00E22D77">
        <w:rPr>
          <w:noProof/>
        </w:rPr>
        <w:t>oddieloch 3</w:t>
      </w:r>
      <w:r w:rsidR="00E22D77">
        <w:rPr>
          <w:noProof/>
        </w:rPr>
        <w:t xml:space="preserve"> a </w:t>
      </w:r>
      <w:r w:rsidRPr="00E22D77">
        <w:rPr>
          <w:noProof/>
        </w:rPr>
        <w:t>4.</w:t>
      </w:r>
    </w:p>
    <w:p w14:paraId="60D289D3" w14:textId="78A744A8" w:rsidR="00E22D77" w:rsidRDefault="000A37D7" w:rsidP="000A37D7">
      <w:pPr>
        <w:spacing w:before="120" w:after="120" w:line="240" w:lineRule="auto"/>
        <w:rPr>
          <w:noProof/>
        </w:rPr>
      </w:pPr>
      <w:r w:rsidRPr="00E22D77">
        <w:rPr>
          <w:noProof/>
        </w:rPr>
        <w:t>Napriek dobrému pokroku pri vykonávaní rôznych aspektov nariadenia</w:t>
      </w:r>
      <w:r w:rsidR="00E22D77">
        <w:rPr>
          <w:noProof/>
        </w:rPr>
        <w:t xml:space="preserve"> o </w:t>
      </w:r>
      <w:r w:rsidRPr="00E22D77">
        <w:rPr>
          <w:noProof/>
        </w:rPr>
        <w:t>položkách</w:t>
      </w:r>
      <w:r w:rsidR="00E22D77">
        <w:rPr>
          <w:noProof/>
        </w:rPr>
        <w:t xml:space="preserve"> s </w:t>
      </w:r>
      <w:r w:rsidRPr="00E22D77">
        <w:rPr>
          <w:noProof/>
        </w:rPr>
        <w:t>dvojakým použitím sa stále pracuje na tom, aby sa</w:t>
      </w:r>
      <w:r w:rsidR="00E22D77">
        <w:rPr>
          <w:noProof/>
        </w:rPr>
        <w:t xml:space="preserve"> v </w:t>
      </w:r>
      <w:r w:rsidRPr="00E22D77">
        <w:rPr>
          <w:noProof/>
        </w:rPr>
        <w:t>plnej miere využil jeho potenciál</w:t>
      </w:r>
      <w:r w:rsidR="00E22D77">
        <w:rPr>
          <w:noProof/>
        </w:rPr>
        <w:t xml:space="preserve"> a </w:t>
      </w:r>
      <w:r w:rsidRPr="00E22D77">
        <w:rPr>
          <w:noProof/>
        </w:rPr>
        <w:t>aby sa optimalizoval jeho prínos</w:t>
      </w:r>
      <w:r w:rsidR="00E22D77">
        <w:rPr>
          <w:noProof/>
        </w:rPr>
        <w:t xml:space="preserve"> k </w:t>
      </w:r>
      <w:r w:rsidRPr="00E22D77">
        <w:rPr>
          <w:noProof/>
        </w:rPr>
        <w:t>mieru</w:t>
      </w:r>
      <w:r w:rsidR="00E22D77">
        <w:rPr>
          <w:noProof/>
        </w:rPr>
        <w:t xml:space="preserve"> a </w:t>
      </w:r>
      <w:r w:rsidRPr="00E22D77">
        <w:rPr>
          <w:noProof/>
        </w:rPr>
        <w:t>bezpečnosti</w:t>
      </w:r>
      <w:r w:rsidR="00E22D77">
        <w:rPr>
          <w:noProof/>
        </w:rPr>
        <w:t xml:space="preserve"> v </w:t>
      </w:r>
      <w:r w:rsidRPr="00E22D77">
        <w:rPr>
          <w:noProof/>
        </w:rPr>
        <w:t>súčasnom geopolitickom kontexte</w:t>
      </w:r>
      <w:r w:rsidR="00E22D77">
        <w:rPr>
          <w:noProof/>
        </w:rPr>
        <w:t>.</w:t>
      </w:r>
    </w:p>
    <w:p w14:paraId="478568E6" w14:textId="0147C481" w:rsidR="000A37D7" w:rsidRPr="00E22D77" w:rsidRDefault="000A37D7" w:rsidP="000A37D7">
      <w:pPr>
        <w:keepNext/>
        <w:numPr>
          <w:ilvl w:val="0"/>
          <w:numId w:val="12"/>
        </w:numPr>
        <w:spacing w:before="360" w:after="120" w:line="240" w:lineRule="auto"/>
        <w:ind w:left="432" w:hanging="432"/>
        <w:outlineLvl w:val="0"/>
        <w:rPr>
          <w:rFonts w:eastAsia="Times New Roman" w:cs="Times New Roman"/>
          <w:b/>
          <w:bCs/>
          <w:smallCaps/>
          <w:noProof/>
          <w:szCs w:val="24"/>
        </w:rPr>
      </w:pPr>
      <w:bookmarkStart w:id="8" w:name="_Toc156899399"/>
      <w:bookmarkStart w:id="9" w:name="_Toc158197721"/>
      <w:r w:rsidRPr="00E22D77">
        <w:rPr>
          <w:b/>
          <w:smallCaps/>
          <w:noProof/>
        </w:rPr>
        <w:t>Najnovší vývoj</w:t>
      </w:r>
      <w:r w:rsidR="00E22D77">
        <w:rPr>
          <w:b/>
          <w:smallCaps/>
          <w:noProof/>
        </w:rPr>
        <w:t xml:space="preserve"> v </w:t>
      </w:r>
      <w:r w:rsidRPr="00E22D77">
        <w:rPr>
          <w:b/>
          <w:smallCaps/>
          <w:noProof/>
        </w:rPr>
        <w:t>oblasti kontroly vývozu</w:t>
      </w:r>
      <w:bookmarkEnd w:id="8"/>
      <w:bookmarkEnd w:id="9"/>
    </w:p>
    <w:p w14:paraId="64161259" w14:textId="05002DF8" w:rsidR="000A37D7" w:rsidRPr="00E22D77" w:rsidRDefault="000A37D7" w:rsidP="000A37D7">
      <w:pPr>
        <w:spacing w:before="120" w:after="120" w:line="240" w:lineRule="auto"/>
        <w:rPr>
          <w:rFonts w:eastAsia="Times New Roman" w:cs="Times New Roman"/>
          <w:noProof/>
          <w:spacing w:val="-4"/>
          <w:szCs w:val="24"/>
        </w:rPr>
      </w:pPr>
      <w:r w:rsidRPr="00E22D77">
        <w:rPr>
          <w:noProof/>
          <w:spacing w:val="-4"/>
        </w:rPr>
        <w:t>V tejto kapitole sa opisuje najnovší vývoj, ktorý poukazuje na obmedzenia súčasného rámca kontroly vývozu</w:t>
      </w:r>
      <w:r w:rsidR="00E22D77" w:rsidRPr="00E22D77">
        <w:rPr>
          <w:noProof/>
          <w:spacing w:val="-4"/>
        </w:rPr>
        <w:t xml:space="preserve"> a </w:t>
      </w:r>
      <w:r w:rsidRPr="00E22D77">
        <w:rPr>
          <w:noProof/>
          <w:spacing w:val="-4"/>
        </w:rPr>
        <w:t>jeho schopnosť zmierniť riziká, ktoré vývoz položiek</w:t>
      </w:r>
      <w:r w:rsidR="00E22D77" w:rsidRPr="00E22D77">
        <w:rPr>
          <w:noProof/>
          <w:spacing w:val="-4"/>
        </w:rPr>
        <w:t xml:space="preserve"> s </w:t>
      </w:r>
      <w:r w:rsidRPr="00E22D77">
        <w:rPr>
          <w:noProof/>
          <w:spacing w:val="-4"/>
        </w:rPr>
        <w:t>dvojakým použitím predstavuje pre bezpečnosť</w:t>
      </w:r>
      <w:r w:rsidR="00E22D77" w:rsidRPr="00E22D77">
        <w:rPr>
          <w:noProof/>
          <w:spacing w:val="-4"/>
        </w:rPr>
        <w:t xml:space="preserve"> a </w:t>
      </w:r>
      <w:r w:rsidRPr="00E22D77">
        <w:rPr>
          <w:noProof/>
          <w:spacing w:val="-4"/>
        </w:rPr>
        <w:t>integritu vnútorného trhu. Komisia považuje za potrebné pružnejšie</w:t>
      </w:r>
      <w:r w:rsidR="00E22D77" w:rsidRPr="00E22D77">
        <w:rPr>
          <w:noProof/>
          <w:spacing w:val="-4"/>
        </w:rPr>
        <w:t xml:space="preserve"> a </w:t>
      </w:r>
      <w:r w:rsidRPr="00E22D77">
        <w:rPr>
          <w:noProof/>
          <w:spacing w:val="-4"/>
        </w:rPr>
        <w:t>účinnejšie kontroly vývozu EÚ, ktoré slúžia záujmom</w:t>
      </w:r>
      <w:r w:rsidR="00E22D77" w:rsidRPr="00E22D77">
        <w:rPr>
          <w:noProof/>
          <w:spacing w:val="-4"/>
        </w:rPr>
        <w:t xml:space="preserve"> a </w:t>
      </w:r>
      <w:r w:rsidRPr="00E22D77">
        <w:rPr>
          <w:noProof/>
          <w:spacing w:val="-4"/>
        </w:rPr>
        <w:t>hodnotám zahraničnej</w:t>
      </w:r>
      <w:r w:rsidR="00E22D77" w:rsidRPr="00E22D77">
        <w:rPr>
          <w:noProof/>
          <w:spacing w:val="-4"/>
        </w:rPr>
        <w:t xml:space="preserve"> a </w:t>
      </w:r>
      <w:r w:rsidRPr="00E22D77">
        <w:rPr>
          <w:noProof/>
          <w:spacing w:val="-4"/>
        </w:rPr>
        <w:t>bezpečnostnej politiky členských štátov</w:t>
      </w:r>
      <w:r w:rsidR="00E22D77" w:rsidRPr="00E22D77">
        <w:rPr>
          <w:noProof/>
          <w:spacing w:val="-4"/>
        </w:rPr>
        <w:t xml:space="preserve"> a </w:t>
      </w:r>
      <w:r w:rsidRPr="00E22D77">
        <w:rPr>
          <w:noProof/>
          <w:spacing w:val="-4"/>
        </w:rPr>
        <w:t>EÚ</w:t>
      </w:r>
      <w:r w:rsidR="00E22D77" w:rsidRPr="00E22D77">
        <w:rPr>
          <w:noProof/>
          <w:spacing w:val="-4"/>
        </w:rPr>
        <w:t xml:space="preserve"> a </w:t>
      </w:r>
      <w:r w:rsidRPr="00E22D77">
        <w:rPr>
          <w:noProof/>
          <w:spacing w:val="-4"/>
        </w:rPr>
        <w:t>zároveň sú pevne zakotvené</w:t>
      </w:r>
      <w:r w:rsidR="00E22D77" w:rsidRPr="00E22D77">
        <w:rPr>
          <w:noProof/>
          <w:spacing w:val="-4"/>
        </w:rPr>
        <w:t xml:space="preserve"> v </w:t>
      </w:r>
      <w:r w:rsidRPr="00E22D77">
        <w:rPr>
          <w:noProof/>
          <w:spacing w:val="-4"/>
        </w:rPr>
        <w:t>spoločnej obchodnej politike Únie.</w:t>
      </w:r>
      <w:r w:rsidRPr="00E22D77">
        <w:rPr>
          <w:rFonts w:eastAsia="Times New Roman" w:cs="Times New Roman"/>
          <w:noProof/>
          <w:spacing w:val="-4"/>
          <w:szCs w:val="24"/>
          <w:vertAlign w:val="superscript"/>
        </w:rPr>
        <w:footnoteReference w:id="9"/>
      </w:r>
    </w:p>
    <w:p w14:paraId="3DCAD585" w14:textId="77777777" w:rsidR="000A37D7" w:rsidRPr="00E22D77" w:rsidRDefault="000A37D7"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10" w:name="_Toc156899400"/>
      <w:bookmarkStart w:id="11" w:name="_Toc158197722"/>
      <w:r w:rsidRPr="00E22D77">
        <w:rPr>
          <w:b/>
          <w:noProof/>
        </w:rPr>
        <w:t>Vplyv Ruska na fungovanie multilaterálnych režimov kontroly vývozu</w:t>
      </w:r>
      <w:bookmarkEnd w:id="10"/>
      <w:bookmarkEnd w:id="11"/>
    </w:p>
    <w:p w14:paraId="68E08F80" w14:textId="0613BD93" w:rsidR="00E22D77" w:rsidRDefault="000A37D7" w:rsidP="000A37D7">
      <w:pPr>
        <w:spacing w:before="120" w:after="120" w:line="240" w:lineRule="auto"/>
        <w:rPr>
          <w:noProof/>
        </w:rPr>
      </w:pPr>
      <w:r w:rsidRPr="00E22D77">
        <w:rPr>
          <w:noProof/>
        </w:rPr>
        <w:t>Zavedené multilaterálne režimy kontroly vývozu už desaťročia poskytujú potrebné opatrenia na kontrolu vývozu, ktoré sú dnes základom rámca EÚ na kontrolu vývozu, čím reagujú na ciele bezpečnostnej politiky Únie. EÚ je odhodlaná zachovať účinnosť multilaterálnych režimov</w:t>
      </w:r>
      <w:r w:rsidR="00E22D77">
        <w:rPr>
          <w:noProof/>
        </w:rPr>
        <w:t xml:space="preserve"> a </w:t>
      </w:r>
      <w:r w:rsidRPr="00E22D77">
        <w:rPr>
          <w:noProof/>
        </w:rPr>
        <w:t>posilniť ich účinnosť</w:t>
      </w:r>
      <w:r w:rsidR="00E22D77">
        <w:rPr>
          <w:noProof/>
        </w:rPr>
        <w:t>.</w:t>
      </w:r>
    </w:p>
    <w:p w14:paraId="22A79879" w14:textId="0D6AF17D" w:rsidR="000A37D7" w:rsidRPr="00E22D77" w:rsidRDefault="000A37D7" w:rsidP="000A37D7">
      <w:pPr>
        <w:spacing w:before="120" w:after="120" w:line="240" w:lineRule="auto"/>
        <w:rPr>
          <w:rFonts w:eastAsia="Times New Roman" w:cs="Times New Roman"/>
          <w:noProof/>
          <w:spacing w:val="-4"/>
          <w:szCs w:val="24"/>
        </w:rPr>
      </w:pPr>
      <w:r w:rsidRPr="00E22D77">
        <w:rPr>
          <w:noProof/>
          <w:spacing w:val="-4"/>
        </w:rPr>
        <w:t>Multilaterálny systém spočíva na schopnosti režimov navrhovať</w:t>
      </w:r>
      <w:r w:rsidR="00E22D77" w:rsidRPr="00E22D77">
        <w:rPr>
          <w:noProof/>
          <w:spacing w:val="-4"/>
        </w:rPr>
        <w:t xml:space="preserve"> a </w:t>
      </w:r>
      <w:r w:rsidRPr="00E22D77">
        <w:rPr>
          <w:noProof/>
          <w:spacing w:val="-4"/>
        </w:rPr>
        <w:t>schvaľovať nové položky na kontrolu vývozu. Niektoré multilaterálne režimy kontroly vývozu (Wassenaarske usporiadanie, Režim kontroly raketových technológií</w:t>
      </w:r>
      <w:r w:rsidR="00E22D77" w:rsidRPr="00E22D77">
        <w:rPr>
          <w:noProof/>
          <w:spacing w:val="-4"/>
        </w:rPr>
        <w:t xml:space="preserve"> a </w:t>
      </w:r>
      <w:r w:rsidRPr="00E22D77">
        <w:rPr>
          <w:noProof/>
          <w:spacing w:val="-4"/>
        </w:rPr>
        <w:t>Skupina jadrových dodávateľov) sú pod značným tlakom, keďže sa uvádza, že Rusko ako člen bráni prijatiu nových kontrol, čo spôsobuje nedostatky</w:t>
      </w:r>
      <w:r w:rsidR="00E22D77" w:rsidRPr="00E22D77">
        <w:rPr>
          <w:noProof/>
          <w:spacing w:val="-4"/>
        </w:rPr>
        <w:t xml:space="preserve"> </w:t>
      </w:r>
      <w:r w:rsidR="00E22D77" w:rsidRPr="00E22D77">
        <w:rPr>
          <w:noProof/>
          <w:spacing w:val="-4"/>
        </w:rPr>
        <w:lastRenderedPageBreak/>
        <w:t>v </w:t>
      </w:r>
      <w:r w:rsidRPr="00E22D77">
        <w:rPr>
          <w:noProof/>
          <w:spacing w:val="-4"/>
        </w:rPr>
        <w:t>systéme.</w:t>
      </w:r>
      <w:r w:rsidRPr="00E22D77">
        <w:rPr>
          <w:rFonts w:eastAsia="Times New Roman" w:cs="Times New Roman"/>
          <w:noProof/>
          <w:spacing w:val="-4"/>
          <w:szCs w:val="24"/>
          <w:vertAlign w:val="superscript"/>
        </w:rPr>
        <w:footnoteReference w:id="10"/>
      </w:r>
      <w:r w:rsidRPr="00E22D77">
        <w:rPr>
          <w:noProof/>
          <w:spacing w:val="-4"/>
        </w:rPr>
        <w:t xml:space="preserve"> Vzhľadom na prepojenie medzi prílohou I</w:t>
      </w:r>
      <w:r w:rsidR="00E22D77" w:rsidRPr="00E22D77">
        <w:rPr>
          <w:noProof/>
          <w:spacing w:val="-4"/>
        </w:rPr>
        <w:t xml:space="preserve"> k </w:t>
      </w:r>
      <w:r w:rsidRPr="00E22D77">
        <w:rPr>
          <w:noProof/>
          <w:spacing w:val="-4"/>
        </w:rPr>
        <w:t>nariadeniu</w:t>
      </w:r>
      <w:r w:rsidR="00E22D77" w:rsidRPr="00E22D77">
        <w:rPr>
          <w:noProof/>
          <w:spacing w:val="-4"/>
        </w:rPr>
        <w:t xml:space="preserve"> o </w:t>
      </w:r>
      <w:r w:rsidRPr="00E22D77">
        <w:rPr>
          <w:noProof/>
          <w:spacing w:val="-4"/>
        </w:rPr>
        <w:t>položkách</w:t>
      </w:r>
      <w:r w:rsidR="00E22D77" w:rsidRPr="00E22D77">
        <w:rPr>
          <w:noProof/>
          <w:spacing w:val="-4"/>
        </w:rPr>
        <w:t xml:space="preserve"> s </w:t>
      </w:r>
      <w:r w:rsidRPr="00E22D77">
        <w:rPr>
          <w:noProof/>
          <w:spacing w:val="-4"/>
        </w:rPr>
        <w:t>dvojakým použitím</w:t>
      </w:r>
      <w:r w:rsidR="00E22D77" w:rsidRPr="00E22D77">
        <w:rPr>
          <w:noProof/>
          <w:spacing w:val="-4"/>
        </w:rPr>
        <w:t xml:space="preserve"> a </w:t>
      </w:r>
      <w:r w:rsidRPr="00E22D77">
        <w:rPr>
          <w:noProof/>
          <w:spacing w:val="-4"/>
        </w:rPr>
        <w:t>multilaterálnymi režimami sa znižuje aj účinnosť</w:t>
      </w:r>
      <w:r w:rsidR="00E22D77" w:rsidRPr="00E22D77">
        <w:rPr>
          <w:noProof/>
          <w:spacing w:val="-4"/>
        </w:rPr>
        <w:t xml:space="preserve"> a </w:t>
      </w:r>
      <w:r w:rsidRPr="00E22D77">
        <w:rPr>
          <w:noProof/>
          <w:spacing w:val="-4"/>
        </w:rPr>
        <w:t>komplexnosť kontrol EÚ.</w:t>
      </w:r>
    </w:p>
    <w:p w14:paraId="1291124F" w14:textId="5634CAF5" w:rsidR="000A37D7" w:rsidRPr="00E22D77" w:rsidRDefault="002B3335" w:rsidP="000A37D7">
      <w:pPr>
        <w:spacing w:before="120" w:after="120" w:line="240" w:lineRule="auto"/>
        <w:rPr>
          <w:rFonts w:eastAsia="Times New Roman" w:cs="Times New Roman"/>
          <w:noProof/>
          <w:szCs w:val="24"/>
        </w:rPr>
      </w:pPr>
      <w:r w:rsidRPr="00E22D77">
        <w:rPr>
          <w:noProof/>
        </w:rPr>
        <w:t>Keďže rozhodovanie</w:t>
      </w:r>
      <w:r w:rsidR="00E22D77">
        <w:rPr>
          <w:noProof/>
        </w:rPr>
        <w:t xml:space="preserve"> v </w:t>
      </w:r>
      <w:r w:rsidRPr="00E22D77">
        <w:rPr>
          <w:noProof/>
        </w:rPr>
        <w:t>týchto režimoch prebieha konsenzom, Rusko – ako každý iný člen – má právo veta nad akoukoľvek iniciatívou na zmenu kontrolných zoznamov, režimov alebo svojho členstva.</w:t>
      </w:r>
      <w:r w:rsidR="000A37D7" w:rsidRPr="00E22D77">
        <w:rPr>
          <w:rFonts w:eastAsia="Times New Roman" w:cs="Times New Roman"/>
          <w:noProof/>
          <w:szCs w:val="24"/>
          <w:vertAlign w:val="superscript"/>
        </w:rPr>
        <w:footnoteReference w:id="11"/>
      </w:r>
      <w:r w:rsidRPr="00E22D77">
        <w:rPr>
          <w:noProof/>
        </w:rPr>
        <w:t xml:space="preserve"> Uvádza sa, že Rusko zablokovalo prijatie dôležitých kontrol vznikajúcich technológií vo Wassenaarskom usporiadaní,</w:t>
      </w:r>
      <w:r w:rsidR="000A37D7" w:rsidRPr="00E22D77">
        <w:rPr>
          <w:rFonts w:eastAsia="Times New Roman" w:cs="Times New Roman"/>
          <w:noProof/>
          <w:szCs w:val="24"/>
          <w:vertAlign w:val="superscript"/>
        </w:rPr>
        <w:footnoteReference w:id="12"/>
      </w:r>
      <w:r w:rsidRPr="00E22D77">
        <w:rPr>
          <w:noProof/>
        </w:rPr>
        <w:t xml:space="preserve"> čo</w:t>
      </w:r>
      <w:r w:rsidR="00E22D77">
        <w:rPr>
          <w:noProof/>
        </w:rPr>
        <w:t xml:space="preserve"> v </w:t>
      </w:r>
      <w:r w:rsidRPr="00E22D77">
        <w:rPr>
          <w:noProof/>
        </w:rPr>
        <w:t>praxi bráni schopnosti režimu prijímať nové rozhodnutia</w:t>
      </w:r>
      <w:r w:rsidR="00E22D77">
        <w:rPr>
          <w:noProof/>
        </w:rPr>
        <w:t xml:space="preserve"> a v </w:t>
      </w:r>
      <w:r w:rsidRPr="00E22D77">
        <w:rPr>
          <w:noProof/>
        </w:rPr>
        <w:t>dôsledku toho bráni súvisiacej aktualizácii zoznamu EÚ na kontrolu vývozu položiek</w:t>
      </w:r>
      <w:r w:rsidR="00E22D77">
        <w:rPr>
          <w:noProof/>
        </w:rPr>
        <w:t xml:space="preserve"> s </w:t>
      </w:r>
      <w:r w:rsidRPr="00E22D77">
        <w:rPr>
          <w:noProof/>
        </w:rPr>
        <w:t>dvojakým použitím. To vyvoláva vážne otázky týkajúce sa schopnosti multilaterálnych režimov kontroly vývozu riadne fungovať</w:t>
      </w:r>
      <w:r w:rsidR="00E22D77">
        <w:rPr>
          <w:noProof/>
        </w:rPr>
        <w:t xml:space="preserve"> v </w:t>
      </w:r>
      <w:r w:rsidRPr="00E22D77">
        <w:rPr>
          <w:noProof/>
        </w:rPr>
        <w:t>čase vážneho geopolitického napätia</w:t>
      </w:r>
      <w:r w:rsidR="00E22D77">
        <w:rPr>
          <w:noProof/>
        </w:rPr>
        <w:t xml:space="preserve"> a </w:t>
      </w:r>
      <w:r w:rsidRPr="00E22D77">
        <w:rPr>
          <w:noProof/>
        </w:rPr>
        <w:t>zaistiť bezpečnosť EÚ</w:t>
      </w:r>
      <w:r w:rsidR="00E22D77">
        <w:rPr>
          <w:noProof/>
        </w:rPr>
        <w:t xml:space="preserve"> a </w:t>
      </w:r>
      <w:r w:rsidRPr="00E22D77">
        <w:rPr>
          <w:noProof/>
        </w:rPr>
        <w:t>ostatných členov multilaterálnych dohôd. Zdá sa, že súčasné blokovanie multilaterálnych režimov viedlo niektorých členov</w:t>
      </w:r>
      <w:r w:rsidR="00E22D77">
        <w:rPr>
          <w:noProof/>
        </w:rPr>
        <w:t xml:space="preserve"> k </w:t>
      </w:r>
      <w:r w:rsidRPr="00E22D77">
        <w:rPr>
          <w:noProof/>
        </w:rPr>
        <w:t>prijatiu individuálnych opatrení, ktoré nie sú zakotvené</w:t>
      </w:r>
      <w:r w:rsidR="00E22D77">
        <w:rPr>
          <w:noProof/>
        </w:rPr>
        <w:t xml:space="preserve"> v </w:t>
      </w:r>
      <w:r w:rsidRPr="00E22D77">
        <w:rPr>
          <w:noProof/>
        </w:rPr>
        <w:t>týchto režimoch, čím sa zvýšilo riziko fragmentácie jednotného trhu</w:t>
      </w:r>
      <w:r w:rsidR="00E22D77">
        <w:rPr>
          <w:noProof/>
        </w:rPr>
        <w:t xml:space="preserve"> a </w:t>
      </w:r>
      <w:r w:rsidRPr="00E22D77">
        <w:rPr>
          <w:noProof/>
        </w:rPr>
        <w:t>všeobecnejšie sa znížila účinnosť multilaterálneho systému kontroly vývozu.</w:t>
      </w:r>
    </w:p>
    <w:p w14:paraId="62781B97" w14:textId="77777777" w:rsidR="000A37D7" w:rsidRPr="00E22D77" w:rsidRDefault="000A37D7"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12" w:name="_Toc156899401"/>
      <w:bookmarkStart w:id="13" w:name="_Toc158197723"/>
      <w:r w:rsidRPr="00E22D77">
        <w:rPr>
          <w:b/>
          <w:noProof/>
        </w:rPr>
        <w:t>Intenzívnejšie využívanie jednostranných kontrol vývozu na medzinárodnej úrovni</w:t>
      </w:r>
      <w:bookmarkEnd w:id="12"/>
      <w:bookmarkEnd w:id="13"/>
    </w:p>
    <w:p w14:paraId="0A880201" w14:textId="393F5651" w:rsidR="00E22D77" w:rsidRDefault="00662A28" w:rsidP="000A37D7">
      <w:pPr>
        <w:spacing w:before="120" w:after="120" w:line="240" w:lineRule="auto"/>
        <w:rPr>
          <w:noProof/>
        </w:rPr>
      </w:pPr>
      <w:r w:rsidRPr="00E22D77">
        <w:rPr>
          <w:noProof/>
        </w:rPr>
        <w:t>Od prijatia nariadenia</w:t>
      </w:r>
      <w:r w:rsidR="00E22D77">
        <w:rPr>
          <w:noProof/>
        </w:rPr>
        <w:t xml:space="preserve"> o </w:t>
      </w:r>
      <w:r w:rsidRPr="00E22D77">
        <w:rPr>
          <w:noProof/>
        </w:rPr>
        <w:t>položkách</w:t>
      </w:r>
      <w:r w:rsidR="00E22D77">
        <w:rPr>
          <w:noProof/>
        </w:rPr>
        <w:t xml:space="preserve"> s </w:t>
      </w:r>
      <w:r w:rsidRPr="00E22D77">
        <w:rPr>
          <w:noProof/>
        </w:rPr>
        <w:t>dvojakým použitím</w:t>
      </w:r>
      <w:r w:rsidR="00E22D77">
        <w:rPr>
          <w:noProof/>
        </w:rPr>
        <w:t xml:space="preserve"> z </w:t>
      </w:r>
      <w:r w:rsidRPr="00E22D77">
        <w:rPr>
          <w:noProof/>
        </w:rPr>
        <w:t>roku 2021 došlo</w:t>
      </w:r>
      <w:r w:rsidR="00E22D77">
        <w:rPr>
          <w:noProof/>
        </w:rPr>
        <w:t xml:space="preserve"> k </w:t>
      </w:r>
      <w:r w:rsidRPr="00E22D77">
        <w:rPr>
          <w:noProof/>
        </w:rPr>
        <w:t>zvýšenému využívaniu jednostranných kontrol vývozu,</w:t>
      </w:r>
      <w:r w:rsidR="00E22D77">
        <w:rPr>
          <w:noProof/>
        </w:rPr>
        <w:t xml:space="preserve"> v </w:t>
      </w:r>
      <w:r w:rsidRPr="00E22D77">
        <w:rPr>
          <w:noProof/>
        </w:rPr>
        <w:t>niektorých prípadoch</w:t>
      </w:r>
      <w:r w:rsidR="00E22D77">
        <w:rPr>
          <w:noProof/>
        </w:rPr>
        <w:t xml:space="preserve"> z </w:t>
      </w:r>
      <w:r w:rsidRPr="00E22D77">
        <w:rPr>
          <w:noProof/>
        </w:rPr>
        <w:t>dôvodu rozsiahlych úvah</w:t>
      </w:r>
      <w:r w:rsidR="00E22D77">
        <w:rPr>
          <w:noProof/>
        </w:rPr>
        <w:t xml:space="preserve"> o </w:t>
      </w:r>
      <w:r w:rsidRPr="00E22D77">
        <w:rPr>
          <w:noProof/>
        </w:rPr>
        <w:t>národnej bezpečnosti</w:t>
      </w:r>
      <w:r w:rsidR="00E22D77">
        <w:rPr>
          <w:noProof/>
        </w:rPr>
        <w:t xml:space="preserve"> a v </w:t>
      </w:r>
      <w:r w:rsidRPr="00E22D77">
        <w:rPr>
          <w:noProof/>
        </w:rPr>
        <w:t>iných prípadoch</w:t>
      </w:r>
      <w:r w:rsidR="00E22D77">
        <w:rPr>
          <w:noProof/>
        </w:rPr>
        <w:t xml:space="preserve"> s </w:t>
      </w:r>
      <w:r w:rsidRPr="00E22D77">
        <w:rPr>
          <w:noProof/>
        </w:rPr>
        <w:t>cieľom riešiť nové riziká, ktoré predstavujú vznikajúce technológie (pozri rámček ďalej)</w:t>
      </w:r>
      <w:r w:rsidR="00E22D77">
        <w:rPr>
          <w:noProof/>
        </w:rPr>
        <w:t>.</w:t>
      </w:r>
    </w:p>
    <w:p w14:paraId="541794B9" w14:textId="09EE0023" w:rsidR="005F56D9" w:rsidRPr="00E22D77" w:rsidRDefault="005F56D9" w:rsidP="000A37D7">
      <w:pPr>
        <w:spacing w:before="120" w:after="120" w:line="240" w:lineRule="auto"/>
        <w:rPr>
          <w:rFonts w:eastAsia="Times New Roman" w:cs="Times New Roman"/>
          <w:noProof/>
          <w:szCs w:val="24"/>
          <w:lang w:eastAsia="en-IE"/>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312" w:type="dxa"/>
        </w:tblCellMar>
        <w:tblLook w:val="0000" w:firstRow="0" w:lastRow="0" w:firstColumn="0" w:lastColumn="0" w:noHBand="0" w:noVBand="0"/>
      </w:tblPr>
      <w:tblGrid>
        <w:gridCol w:w="9300"/>
      </w:tblGrid>
      <w:tr w:rsidR="005F56D9" w:rsidRPr="00E22D77" w14:paraId="2F0DF9C4" w14:textId="77777777" w:rsidTr="00235E3A">
        <w:trPr>
          <w:trHeight w:val="2117"/>
        </w:trPr>
        <w:tc>
          <w:tcPr>
            <w:tcW w:w="9300" w:type="dxa"/>
          </w:tcPr>
          <w:p w14:paraId="1E96AC2B" w14:textId="25A7F84E" w:rsidR="005F56D9" w:rsidRPr="00E22D77" w:rsidRDefault="00E55F2F" w:rsidP="0059011E">
            <w:pPr>
              <w:spacing w:before="120" w:after="120" w:line="240" w:lineRule="auto"/>
              <w:jc w:val="center"/>
              <w:rPr>
                <w:rFonts w:eastAsia="Times New Roman" w:cs="Times New Roman"/>
                <w:noProof/>
                <w:szCs w:val="24"/>
              </w:rPr>
            </w:pPr>
            <w:r w:rsidRPr="00E22D77">
              <w:rPr>
                <w:b/>
                <w:noProof/>
              </w:rPr>
              <w:t>Príklady jednostranných kontrol vývozu tretími krajinami</w:t>
            </w:r>
          </w:p>
          <w:p w14:paraId="47647525" w14:textId="7B0726FC" w:rsidR="005F56D9" w:rsidRPr="00E22D77" w:rsidRDefault="005F56D9" w:rsidP="005F56D9">
            <w:pPr>
              <w:tabs>
                <w:tab w:val="num" w:pos="765"/>
              </w:tabs>
              <w:spacing w:before="120" w:after="240" w:line="240" w:lineRule="auto"/>
              <w:rPr>
                <w:rFonts w:eastAsia="Times New Roman" w:cs="Times New Roman"/>
                <w:noProof/>
                <w:szCs w:val="20"/>
              </w:rPr>
            </w:pPr>
            <w:r w:rsidRPr="00E22D77">
              <w:rPr>
                <w:noProof/>
              </w:rPr>
              <w:t>USA 7</w:t>
            </w:r>
            <w:r w:rsidR="00E22D77">
              <w:rPr>
                <w:noProof/>
              </w:rPr>
              <w:t>. októbra</w:t>
            </w:r>
            <w:r w:rsidRPr="00E22D77">
              <w:rPr>
                <w:noProof/>
              </w:rPr>
              <w:t xml:space="preserve"> 2022 prijali jednostranné kontroly vývozu pokročilých</w:t>
            </w:r>
            <w:r w:rsidR="00E22D77">
              <w:rPr>
                <w:noProof/>
              </w:rPr>
              <w:t xml:space="preserve"> a </w:t>
            </w:r>
            <w:r w:rsidRPr="00E22D77">
              <w:rPr>
                <w:noProof/>
              </w:rPr>
              <w:t>vysokovýkonných počítačových čipov</w:t>
            </w:r>
            <w:r w:rsidR="00E22D77">
              <w:rPr>
                <w:noProof/>
              </w:rPr>
              <w:t xml:space="preserve"> a </w:t>
            </w:r>
            <w:r w:rsidRPr="00E22D77">
              <w:rPr>
                <w:noProof/>
              </w:rPr>
              <w:t>súvisiaceho softvéru, ako aj pokročilých zariadení na výrobu polovodičov.</w:t>
            </w:r>
            <w:r w:rsidR="00E22D77">
              <w:rPr>
                <w:noProof/>
              </w:rPr>
              <w:t xml:space="preserve"> V </w:t>
            </w:r>
            <w:r w:rsidRPr="00E22D77">
              <w:rPr>
                <w:noProof/>
              </w:rPr>
              <w:t>reakcii na tieto opatrenia Čína</w:t>
            </w:r>
            <w:r w:rsidR="00E22D77">
              <w:rPr>
                <w:noProof/>
              </w:rPr>
              <w:t xml:space="preserve"> v </w:t>
            </w:r>
            <w:r w:rsidRPr="00E22D77">
              <w:rPr>
                <w:noProof/>
              </w:rPr>
              <w:t>decembri 2022 požiadala</w:t>
            </w:r>
            <w:r w:rsidR="00E22D77">
              <w:rPr>
                <w:noProof/>
              </w:rPr>
              <w:t xml:space="preserve"> o </w:t>
            </w:r>
            <w:r w:rsidRPr="00E22D77">
              <w:rPr>
                <w:noProof/>
              </w:rPr>
              <w:t>konzultácie</w:t>
            </w:r>
            <w:r w:rsidR="00E22D77">
              <w:rPr>
                <w:noProof/>
              </w:rPr>
              <w:t xml:space="preserve"> s </w:t>
            </w:r>
            <w:r w:rsidRPr="00E22D77">
              <w:rPr>
                <w:noProof/>
              </w:rPr>
              <w:t>USA</w:t>
            </w:r>
            <w:r w:rsidR="00E22D77">
              <w:rPr>
                <w:noProof/>
              </w:rPr>
              <w:t xml:space="preserve"> v </w:t>
            </w:r>
            <w:r w:rsidRPr="00E22D77">
              <w:rPr>
                <w:noProof/>
              </w:rPr>
              <w:t>rámci mechanizmu WTO na urovnávanie sporov</w:t>
            </w:r>
            <w:r w:rsidRPr="00E22D77">
              <w:rPr>
                <w:rFonts w:eastAsia="Times New Roman" w:cs="Times New Roman"/>
                <w:noProof/>
                <w:szCs w:val="24"/>
                <w:vertAlign w:val="superscript"/>
                <w:lang w:eastAsia="en-IE"/>
              </w:rPr>
              <w:footnoteReference w:id="13"/>
            </w:r>
            <w:r w:rsidRPr="00E22D77">
              <w:rPr>
                <w:noProof/>
              </w:rPr>
              <w:t>. USA tieto opatrenia ďalej posilnili</w:t>
            </w:r>
            <w:r w:rsidR="00E22D77">
              <w:rPr>
                <w:noProof/>
              </w:rPr>
              <w:t xml:space="preserve"> v </w:t>
            </w:r>
            <w:r w:rsidRPr="00E22D77">
              <w:rPr>
                <w:noProof/>
              </w:rPr>
              <w:t>aktualizácii uverejnenej 17</w:t>
            </w:r>
            <w:r w:rsidR="00E22D77">
              <w:rPr>
                <w:noProof/>
              </w:rPr>
              <w:t>. októbra</w:t>
            </w:r>
            <w:r w:rsidRPr="00E22D77">
              <w:rPr>
                <w:noProof/>
              </w:rPr>
              <w:t xml:space="preserve"> 2023</w:t>
            </w:r>
            <w:r w:rsidRPr="00E22D77">
              <w:rPr>
                <w:rFonts w:eastAsia="Times New Roman" w:cs="Times New Roman"/>
                <w:noProof/>
                <w:szCs w:val="24"/>
                <w:vertAlign w:val="superscript"/>
                <w:lang w:eastAsia="en-IE"/>
              </w:rPr>
              <w:footnoteReference w:id="14"/>
            </w:r>
            <w:r w:rsidRPr="00E22D77">
              <w:rPr>
                <w:noProof/>
              </w:rPr>
              <w:t>.</w:t>
            </w:r>
          </w:p>
          <w:p w14:paraId="73EEF7BC" w14:textId="4F04C3A6" w:rsidR="005F56D9" w:rsidRPr="00E22D77" w:rsidRDefault="005F56D9" w:rsidP="005F56D9">
            <w:pPr>
              <w:tabs>
                <w:tab w:val="num" w:pos="765"/>
              </w:tabs>
              <w:spacing w:before="120" w:after="240" w:line="240" w:lineRule="auto"/>
              <w:rPr>
                <w:rFonts w:eastAsia="Times New Roman" w:cs="Times New Roman"/>
                <w:noProof/>
                <w:szCs w:val="20"/>
              </w:rPr>
            </w:pPr>
            <w:r w:rsidRPr="00E22D77">
              <w:rPr>
                <w:noProof/>
              </w:rPr>
              <w:lastRenderedPageBreak/>
              <w:t>Japonsko 23</w:t>
            </w:r>
            <w:r w:rsidR="00E22D77">
              <w:rPr>
                <w:noProof/>
              </w:rPr>
              <w:t>. mája</w:t>
            </w:r>
            <w:r w:rsidRPr="00E22D77">
              <w:rPr>
                <w:noProof/>
              </w:rPr>
              <w:t xml:space="preserve"> 2023 prijalo kontroly vývozu položiek na výrobu polovodičov.</w:t>
            </w:r>
            <w:r w:rsidRPr="00E22D77">
              <w:rPr>
                <w:rFonts w:eastAsia="Times New Roman" w:cs="Times New Roman"/>
                <w:noProof/>
                <w:szCs w:val="24"/>
                <w:vertAlign w:val="superscript"/>
                <w:lang w:eastAsia="en-IE"/>
              </w:rPr>
              <w:footnoteReference w:id="15"/>
            </w:r>
          </w:p>
          <w:p w14:paraId="67EAA021" w14:textId="2D7DCF4C" w:rsidR="005F56D9" w:rsidRPr="00E22D77" w:rsidRDefault="005F56D9" w:rsidP="009A3902">
            <w:pPr>
              <w:tabs>
                <w:tab w:val="num" w:pos="765"/>
              </w:tabs>
              <w:spacing w:before="120" w:after="240" w:line="240" w:lineRule="auto"/>
              <w:rPr>
                <w:rFonts w:eastAsia="Times New Roman" w:cs="Times New Roman"/>
                <w:noProof/>
                <w:szCs w:val="20"/>
              </w:rPr>
            </w:pPr>
            <w:r w:rsidRPr="00E22D77">
              <w:rPr>
                <w:noProof/>
              </w:rPr>
              <w:t>V roku 2023 Čína prijala sériu kontrol vývozu. Konkrétne 3</w:t>
            </w:r>
            <w:r w:rsidR="00E22D77">
              <w:rPr>
                <w:noProof/>
              </w:rPr>
              <w:t>. júla</w:t>
            </w:r>
            <w:r w:rsidRPr="00E22D77">
              <w:rPr>
                <w:noProof/>
              </w:rPr>
              <w:t xml:space="preserve"> 2023 prijala kontroly týkajúce sa výrobkov</w:t>
            </w:r>
            <w:r w:rsidR="00E22D77">
              <w:rPr>
                <w:noProof/>
              </w:rPr>
              <w:t xml:space="preserve"> s </w:t>
            </w:r>
            <w:r w:rsidRPr="00E22D77">
              <w:rPr>
                <w:noProof/>
              </w:rPr>
              <w:t>obsahom gália</w:t>
            </w:r>
            <w:r w:rsidR="00E22D77">
              <w:rPr>
                <w:noProof/>
              </w:rPr>
              <w:t xml:space="preserve"> a </w:t>
            </w:r>
            <w:r w:rsidRPr="00E22D77">
              <w:rPr>
                <w:noProof/>
              </w:rPr>
              <w:t>germánia; 31</w:t>
            </w:r>
            <w:r w:rsidR="00E22D77">
              <w:rPr>
                <w:noProof/>
              </w:rPr>
              <w:t>. júla</w:t>
            </w:r>
            <w:r w:rsidRPr="00E22D77">
              <w:rPr>
                <w:noProof/>
              </w:rPr>
              <w:t xml:space="preserve"> 2023 kontroly týkajúce sa vyspelých bezpilotných vzdušných prostriedkov (UAV)</w:t>
            </w:r>
            <w:r w:rsidR="00E22D77">
              <w:rPr>
                <w:noProof/>
              </w:rPr>
              <w:t xml:space="preserve"> a </w:t>
            </w:r>
            <w:r w:rsidRPr="00E22D77">
              <w:rPr>
                <w:noProof/>
              </w:rPr>
              <w:t>1</w:t>
            </w:r>
            <w:r w:rsidR="00E22D77">
              <w:rPr>
                <w:noProof/>
              </w:rPr>
              <w:t>. septembra</w:t>
            </w:r>
            <w:r w:rsidRPr="00E22D77">
              <w:rPr>
                <w:noProof/>
              </w:rPr>
              <w:t xml:space="preserve"> 2023 kontroly týkajúce sa grafitu</w:t>
            </w:r>
            <w:r w:rsidR="00E22D77">
              <w:rPr>
                <w:noProof/>
              </w:rPr>
              <w:t xml:space="preserve"> a </w:t>
            </w:r>
            <w:r w:rsidRPr="00E22D77">
              <w:rPr>
                <w:noProof/>
              </w:rPr>
              <w:t>výrobkov obsahujúcich grafit.</w:t>
            </w:r>
          </w:p>
        </w:tc>
      </w:tr>
    </w:tbl>
    <w:p w14:paraId="03F82948" w14:textId="56B99CCE" w:rsidR="00E22D77" w:rsidRDefault="00122A21" w:rsidP="000A37D7">
      <w:pPr>
        <w:spacing w:before="120" w:after="120" w:line="240" w:lineRule="auto"/>
        <w:rPr>
          <w:noProof/>
        </w:rPr>
      </w:pPr>
      <w:bookmarkStart w:id="14" w:name="_Hlk156566782"/>
      <w:r w:rsidRPr="00E22D77">
        <w:rPr>
          <w:noProof/>
        </w:rPr>
        <w:lastRenderedPageBreak/>
        <w:t>Ak takéto kontroly majú extrateritoriálne právne účinky, môžu mať vplyv na globálne hodnotové reťazce, ako aj na schopnosť podnikov EÚ vyvážať kľúčové špičkové technológie</w:t>
      </w:r>
      <w:r w:rsidR="00E22D77">
        <w:rPr>
          <w:noProof/>
        </w:rPr>
        <w:t xml:space="preserve"> a </w:t>
      </w:r>
      <w:r w:rsidRPr="00E22D77">
        <w:rPr>
          <w:noProof/>
        </w:rPr>
        <w:t>komponenty vrátane položiek</w:t>
      </w:r>
      <w:r w:rsidR="00E22D77">
        <w:rPr>
          <w:noProof/>
        </w:rPr>
        <w:t xml:space="preserve"> s </w:t>
      </w:r>
      <w:r w:rsidRPr="00E22D77">
        <w:rPr>
          <w:noProof/>
        </w:rPr>
        <w:t>dvojakým použitím. Platí to najmä</w:t>
      </w:r>
      <w:r w:rsidR="00E22D77">
        <w:rPr>
          <w:noProof/>
        </w:rPr>
        <w:t xml:space="preserve"> v </w:t>
      </w:r>
      <w:r w:rsidRPr="00E22D77">
        <w:rPr>
          <w:noProof/>
        </w:rPr>
        <w:t>prípade, keď sa takéto kontroly, hoci sú opodstatnené</w:t>
      </w:r>
      <w:r w:rsidR="00E22D77">
        <w:rPr>
          <w:noProof/>
        </w:rPr>
        <w:t xml:space="preserve"> z </w:t>
      </w:r>
      <w:r w:rsidRPr="00E22D77">
        <w:rPr>
          <w:noProof/>
        </w:rPr>
        <w:t>dôvodov národnej bezpečnosti krajiny, ktorá ich navrhuje, vzťahujú na komerčne dostupné technológie mimo tých, ktoré sú kontrolované prostredníctvom multilaterálnych režimov</w:t>
      </w:r>
      <w:bookmarkEnd w:id="14"/>
      <w:r w:rsidR="00E22D77">
        <w:rPr>
          <w:noProof/>
        </w:rPr>
        <w:t>.</w:t>
      </w:r>
    </w:p>
    <w:p w14:paraId="58798E67" w14:textId="1EC19830" w:rsidR="000A37D7" w:rsidRPr="00E22D77" w:rsidRDefault="000A37D7"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15" w:name="_Toc156899402"/>
      <w:bookmarkStart w:id="16" w:name="_Toc158197724"/>
      <w:r w:rsidRPr="00E22D77">
        <w:rPr>
          <w:b/>
          <w:noProof/>
        </w:rPr>
        <w:t>Nedávne vnútroštátne kontroly vývozu vykonávané členskými štátmi EÚ</w:t>
      </w:r>
      <w:bookmarkEnd w:id="15"/>
      <w:bookmarkEnd w:id="16"/>
    </w:p>
    <w:p w14:paraId="01C8AAFA" w14:textId="77777777" w:rsidR="00E22D77" w:rsidRDefault="000A37D7" w:rsidP="000A37D7">
      <w:pPr>
        <w:spacing w:before="120" w:after="120" w:line="240" w:lineRule="auto"/>
        <w:rPr>
          <w:noProof/>
        </w:rPr>
      </w:pPr>
      <w:r w:rsidRPr="00E22D77">
        <w:rPr>
          <w:noProof/>
        </w:rPr>
        <w:t>Európska únia</w:t>
      </w:r>
      <w:r w:rsidR="00E22D77">
        <w:rPr>
          <w:noProof/>
        </w:rPr>
        <w:t xml:space="preserve"> v </w:t>
      </w:r>
      <w:r w:rsidRPr="00E22D77">
        <w:rPr>
          <w:noProof/>
        </w:rPr>
        <w:t>súčasnosti nemá potrebné právne ustanovenia na to, aby mohla na úrovni EÚ prijať jednotné kontroly vývozu nezávisle od toho, čo sa prijalo</w:t>
      </w:r>
      <w:r w:rsidR="00E22D77">
        <w:rPr>
          <w:noProof/>
        </w:rPr>
        <w:t xml:space="preserve"> v </w:t>
      </w:r>
      <w:r w:rsidRPr="00E22D77">
        <w:rPr>
          <w:noProof/>
        </w:rPr>
        <w:t>multilaterálnych režimoch,</w:t>
      </w:r>
      <w:r w:rsidR="00E22D77">
        <w:rPr>
          <w:noProof/>
        </w:rPr>
        <w:t xml:space="preserve"> s </w:t>
      </w:r>
      <w:r w:rsidRPr="00E22D77">
        <w:rPr>
          <w:noProof/>
        </w:rPr>
        <w:t>výnimkou veľmi obmedzených oblastí.</w:t>
      </w:r>
      <w:r w:rsidRPr="00E22D77">
        <w:rPr>
          <w:rFonts w:eastAsia="Times New Roman" w:cs="Times New Roman"/>
          <w:noProof/>
          <w:szCs w:val="24"/>
          <w:vertAlign w:val="superscript"/>
        </w:rPr>
        <w:footnoteReference w:id="16"/>
      </w:r>
    </w:p>
    <w:p w14:paraId="5E55B7DF" w14:textId="41C370BC" w:rsidR="00E22D77" w:rsidRDefault="00816671" w:rsidP="000A37D7">
      <w:pPr>
        <w:spacing w:before="120" w:after="120" w:line="240" w:lineRule="auto"/>
        <w:rPr>
          <w:noProof/>
        </w:rPr>
      </w:pPr>
      <w:r w:rsidRPr="00E22D77">
        <w:rPr>
          <w:noProof/>
        </w:rPr>
        <w:t xml:space="preserve">Pred prijatím </w:t>
      </w:r>
      <w:bookmarkStart w:id="17" w:name="_Hlk152162065"/>
      <w:r w:rsidRPr="00E22D77">
        <w:rPr>
          <w:noProof/>
        </w:rPr>
        <w:t>nariadenia</w:t>
      </w:r>
      <w:r w:rsidR="00E22D77">
        <w:rPr>
          <w:noProof/>
        </w:rPr>
        <w:t xml:space="preserve"> o </w:t>
      </w:r>
      <w:r w:rsidRPr="00E22D77">
        <w:rPr>
          <w:noProof/>
        </w:rPr>
        <w:t>položkách</w:t>
      </w:r>
      <w:r w:rsidR="00E22D77">
        <w:rPr>
          <w:noProof/>
        </w:rPr>
        <w:t xml:space="preserve"> s </w:t>
      </w:r>
      <w:r w:rsidRPr="00E22D77">
        <w:rPr>
          <w:noProof/>
        </w:rPr>
        <w:t>dvojakým použitím</w:t>
      </w:r>
      <w:r w:rsidR="00E22D77">
        <w:rPr>
          <w:noProof/>
        </w:rPr>
        <w:t xml:space="preserve"> z </w:t>
      </w:r>
      <w:r w:rsidRPr="00E22D77">
        <w:rPr>
          <w:noProof/>
        </w:rPr>
        <w:t>roku 2021</w:t>
      </w:r>
      <w:bookmarkEnd w:id="17"/>
      <w:r w:rsidRPr="00E22D77">
        <w:rPr>
          <w:noProof/>
        </w:rPr>
        <w:t xml:space="preserve"> členské štáty oznámili Komisii svoje vnútroštátne opatrenia,</w:t>
      </w:r>
      <w:r w:rsidRPr="00E22D77">
        <w:rPr>
          <w:rStyle w:val="Odkaznapoznmkupodiarou"/>
          <w:rFonts w:eastAsia="Times New Roman" w:cs="Times New Roman"/>
          <w:noProof/>
          <w:szCs w:val="24"/>
        </w:rPr>
        <w:footnoteReference w:id="17"/>
      </w:r>
      <w:r w:rsidRPr="00E22D77">
        <w:rPr>
          <w:noProof/>
        </w:rPr>
        <w:t xml:space="preserve"> ktoré sa následne každoročne uverejňujú</w:t>
      </w:r>
      <w:r w:rsidR="00E22D77">
        <w:rPr>
          <w:noProof/>
        </w:rPr>
        <w:t xml:space="preserve"> v </w:t>
      </w:r>
      <w:r w:rsidRPr="00E22D77">
        <w:rPr>
          <w:i/>
          <w:iCs/>
          <w:noProof/>
        </w:rPr>
        <w:t>Úradnom vestníku EÚ</w:t>
      </w:r>
      <w:r w:rsidRPr="00E22D77">
        <w:rPr>
          <w:noProof/>
        </w:rPr>
        <w:t xml:space="preserve"> vo forme informačnej poznámky</w:t>
      </w:r>
      <w:r w:rsidR="00E22D77">
        <w:rPr>
          <w:noProof/>
        </w:rPr>
        <w:t>.</w:t>
      </w:r>
    </w:p>
    <w:p w14:paraId="3D0E4DC3" w14:textId="03964F70" w:rsidR="00E22D77" w:rsidRDefault="00B854C8" w:rsidP="000A37D7">
      <w:pPr>
        <w:spacing w:before="120" w:after="120" w:line="240" w:lineRule="auto"/>
        <w:rPr>
          <w:noProof/>
        </w:rPr>
      </w:pPr>
      <w:r w:rsidRPr="00E22D77">
        <w:rPr>
          <w:noProof/>
        </w:rPr>
        <w:t>Nadobudnutím účinnosti nariadenia</w:t>
      </w:r>
      <w:r w:rsidR="00E22D77">
        <w:rPr>
          <w:noProof/>
        </w:rPr>
        <w:t xml:space="preserve"> o </w:t>
      </w:r>
      <w:r w:rsidRPr="00E22D77">
        <w:rPr>
          <w:noProof/>
        </w:rPr>
        <w:t>položkách</w:t>
      </w:r>
      <w:r w:rsidR="00E22D77">
        <w:rPr>
          <w:noProof/>
        </w:rPr>
        <w:t xml:space="preserve"> s </w:t>
      </w:r>
      <w:r w:rsidRPr="00E22D77">
        <w:rPr>
          <w:noProof/>
        </w:rPr>
        <w:t>dvojakým použitím</w:t>
      </w:r>
      <w:r w:rsidR="00E22D77">
        <w:rPr>
          <w:noProof/>
        </w:rPr>
        <w:t xml:space="preserve"> z </w:t>
      </w:r>
      <w:r w:rsidRPr="00E22D77">
        <w:rPr>
          <w:noProof/>
        </w:rPr>
        <w:t>roku 2021 sa vytvoril nový spôsob uverejňovania</w:t>
      </w:r>
      <w:r w:rsidR="00E22D77">
        <w:rPr>
          <w:noProof/>
        </w:rPr>
        <w:t xml:space="preserve"> a </w:t>
      </w:r>
      <w:r w:rsidRPr="00E22D77">
        <w:rPr>
          <w:noProof/>
        </w:rPr>
        <w:t>koordinácie vnútroštátnych kontrolných zoznamov medzi členskými štátmi.</w:t>
      </w:r>
      <w:r w:rsidR="00282CFA" w:rsidRPr="00E22D77">
        <w:rPr>
          <w:rStyle w:val="Odkaznapoznmkupodiarou"/>
          <w:rFonts w:eastAsia="Times New Roman" w:cs="Times New Roman"/>
          <w:noProof/>
          <w:szCs w:val="24"/>
        </w:rPr>
        <w:footnoteReference w:id="18"/>
      </w:r>
      <w:r w:rsidRPr="00E22D77">
        <w:rPr>
          <w:noProof/>
        </w:rPr>
        <w:t xml:space="preserve"> Podľa článku 9 nariadenia</w:t>
      </w:r>
      <w:r w:rsidR="00E22D77">
        <w:rPr>
          <w:noProof/>
        </w:rPr>
        <w:t xml:space="preserve"> o </w:t>
      </w:r>
      <w:r w:rsidRPr="00E22D77">
        <w:rPr>
          <w:noProof/>
        </w:rPr>
        <w:t>položkách</w:t>
      </w:r>
      <w:r w:rsidR="00E22D77">
        <w:rPr>
          <w:noProof/>
        </w:rPr>
        <w:t xml:space="preserve"> s </w:t>
      </w:r>
      <w:r w:rsidRPr="00E22D77">
        <w:rPr>
          <w:noProof/>
        </w:rPr>
        <w:t>dvojakým použitím Komisia na jednej strane uverejňuje výročnú informačnú poznámku obsahujúcu všetky vnútroštátne opatrenia, ktoré jej oznámili členské štáty,</w:t>
      </w:r>
      <w:r w:rsidR="00E22D77">
        <w:rPr>
          <w:noProof/>
        </w:rPr>
        <w:t xml:space="preserve"> a </w:t>
      </w:r>
      <w:r w:rsidRPr="00E22D77">
        <w:rPr>
          <w:noProof/>
        </w:rPr>
        <w:t>na druhej strane tzv. súbor vnútroštátnych kontrolných zoznamov EÚ</w:t>
      </w:r>
      <w:r w:rsidR="000A37D7" w:rsidRPr="00E22D77">
        <w:rPr>
          <w:rFonts w:eastAsia="Times New Roman" w:cs="Times New Roman"/>
          <w:noProof/>
          <w:szCs w:val="24"/>
          <w:vertAlign w:val="superscript"/>
        </w:rPr>
        <w:footnoteReference w:id="19"/>
      </w:r>
      <w:r w:rsidR="00E22D77">
        <w:rPr>
          <w:noProof/>
        </w:rPr>
        <w:t>.</w:t>
      </w:r>
    </w:p>
    <w:p w14:paraId="0F274AB7" w14:textId="0E9F5A69" w:rsidR="000A37D7" w:rsidRPr="00E22D77" w:rsidRDefault="002C3261" w:rsidP="000A37D7">
      <w:pPr>
        <w:spacing w:before="120" w:after="120" w:line="240" w:lineRule="auto"/>
        <w:rPr>
          <w:rFonts w:eastAsia="Times New Roman" w:cs="Times New Roman"/>
          <w:noProof/>
          <w:spacing w:val="-4"/>
          <w:szCs w:val="24"/>
        </w:rPr>
      </w:pPr>
      <w:r w:rsidRPr="00E22D77">
        <w:rPr>
          <w:noProof/>
          <w:spacing w:val="-4"/>
        </w:rPr>
        <w:lastRenderedPageBreak/>
        <w:t>Hoci uverejnenie vnútroštátnych opatrení nemá žiadny osobitný právny účinok</w:t>
      </w:r>
      <w:r w:rsidR="00E22D77" w:rsidRPr="00E22D77">
        <w:rPr>
          <w:noProof/>
          <w:spacing w:val="-4"/>
        </w:rPr>
        <w:t xml:space="preserve"> v </w:t>
      </w:r>
      <w:r w:rsidRPr="00E22D77">
        <w:rPr>
          <w:noProof/>
          <w:spacing w:val="-4"/>
        </w:rPr>
        <w:t>iných členských štátoch, uverejnenie súboru vnútroštátnych kontrolných zoznamov EÚ dáva ostatným členským štátom možnosť uplatňovať takéto kontroly priamo na svojich vývozcov. Inými slovami, na podnet iných členských štátov sa môžu rozhodnúť, že povoleniu (a prípadnému zamietnutiu) budú podliehať položky uvedené</w:t>
      </w:r>
      <w:r w:rsidR="00E22D77" w:rsidRPr="00E22D77">
        <w:rPr>
          <w:noProof/>
          <w:spacing w:val="-4"/>
        </w:rPr>
        <w:t xml:space="preserve"> v </w:t>
      </w:r>
      <w:r w:rsidRPr="00E22D77">
        <w:rPr>
          <w:noProof/>
          <w:spacing w:val="-4"/>
        </w:rPr>
        <w:t>súbore vnútroštátnych kontrolných zoznamov. Cieľom tohto mechanizmu je uľahčiť rýchlejšie zavedenie</w:t>
      </w:r>
      <w:r w:rsidR="00E22D77" w:rsidRPr="00E22D77">
        <w:rPr>
          <w:noProof/>
          <w:spacing w:val="-4"/>
        </w:rPr>
        <w:t xml:space="preserve"> a </w:t>
      </w:r>
      <w:r w:rsidRPr="00E22D77">
        <w:rPr>
          <w:noProof/>
          <w:spacing w:val="-4"/>
        </w:rPr>
        <w:t>koordináciu vnútroštátnych kontrol vývozu, aby Únia mohla rýchlo reagovať na závažné zneužívanie existujúcich technológií alebo na nové riziká spojené so vznikajúcimi technológiami (pozri oddiel 4.1).</w:t>
      </w:r>
    </w:p>
    <w:p w14:paraId="7169F9B6" w14:textId="71B996FE" w:rsidR="000A37D7" w:rsidRPr="00E22D77" w:rsidRDefault="007E7488" w:rsidP="000A37D7">
      <w:pPr>
        <w:spacing w:before="120" w:after="120" w:line="240" w:lineRule="auto"/>
        <w:rPr>
          <w:rFonts w:eastAsia="Times New Roman" w:cs="Times New Roman"/>
          <w:noProof/>
          <w:spacing w:val="-6"/>
          <w:szCs w:val="24"/>
        </w:rPr>
      </w:pPr>
      <w:r w:rsidRPr="00E22D77">
        <w:rPr>
          <w:noProof/>
          <w:spacing w:val="-6"/>
        </w:rPr>
        <w:t>V prvom polroku 2023 niekoľko členských štátov prijalo vnútroštátne kontrolné zoznamy (pozri ďalej), ktoré prvýkrát spustili tento nový koordinačný mechanizmus. Niektoré</w:t>
      </w:r>
      <w:r w:rsidR="00E22D77" w:rsidRPr="00E22D77">
        <w:rPr>
          <w:noProof/>
          <w:spacing w:val="-6"/>
        </w:rPr>
        <w:t xml:space="preserve"> z </w:t>
      </w:r>
      <w:r w:rsidRPr="00E22D77">
        <w:rPr>
          <w:noProof/>
          <w:spacing w:val="-6"/>
        </w:rPr>
        <w:t>týchto vnútroštátnych kontrolných zoznamov sa napríklad snažia obmedziť vývoz kritických technológií mimo Únie, pričom</w:t>
      </w:r>
      <w:r w:rsidR="00E22D77" w:rsidRPr="00E22D77">
        <w:rPr>
          <w:noProof/>
          <w:spacing w:val="-6"/>
        </w:rPr>
        <w:t xml:space="preserve"> v </w:t>
      </w:r>
      <w:r w:rsidRPr="00E22D77">
        <w:rPr>
          <w:noProof/>
          <w:spacing w:val="-6"/>
        </w:rPr>
        <w:t>niektorých prípadoch vychádzajú</w:t>
      </w:r>
      <w:r w:rsidR="00E22D77" w:rsidRPr="00E22D77">
        <w:rPr>
          <w:noProof/>
          <w:spacing w:val="-6"/>
        </w:rPr>
        <w:t xml:space="preserve"> z </w:t>
      </w:r>
      <w:r w:rsidRPr="00E22D77">
        <w:rPr>
          <w:noProof/>
          <w:spacing w:val="-6"/>
        </w:rPr>
        <w:t>diskusií, ktoré prebiehajú</w:t>
      </w:r>
      <w:r w:rsidR="00E22D77" w:rsidRPr="00E22D77">
        <w:rPr>
          <w:noProof/>
          <w:spacing w:val="-6"/>
        </w:rPr>
        <w:t xml:space="preserve"> v </w:t>
      </w:r>
      <w:r w:rsidRPr="00E22D77">
        <w:rPr>
          <w:noProof/>
          <w:spacing w:val="-6"/>
        </w:rPr>
        <w:t>rámci multilaterálnych režimov</w:t>
      </w:r>
      <w:r w:rsidR="000A37D7" w:rsidRPr="00E22D77">
        <w:rPr>
          <w:rFonts w:eastAsia="Times New Roman" w:cs="Times New Roman"/>
          <w:noProof/>
          <w:spacing w:val="-6"/>
          <w:szCs w:val="24"/>
          <w:vertAlign w:val="superscript"/>
        </w:rPr>
        <w:footnoteReference w:id="20"/>
      </w:r>
      <w:r w:rsidRPr="00E22D77">
        <w:rPr>
          <w:noProof/>
          <w:spacing w:val="-6"/>
        </w:rPr>
        <w:t>. Komisia chápe, že niektoré členské štáty môžu zvážiť možnú potrebu vnútroštátnych kontrol vzhľadom na súčasné ťažkosti dohodnúť sa na nových kontrolných položkách</w:t>
      </w:r>
      <w:r w:rsidR="00E22D77" w:rsidRPr="00E22D77">
        <w:rPr>
          <w:noProof/>
          <w:spacing w:val="-6"/>
        </w:rPr>
        <w:t xml:space="preserve"> v </w:t>
      </w:r>
      <w:r w:rsidRPr="00E22D77">
        <w:rPr>
          <w:noProof/>
          <w:spacing w:val="-6"/>
        </w:rPr>
        <w:t>mnohostranných režimoch. Nárast vnútroštátnych kontrol zaznamenaný</w:t>
      </w:r>
      <w:r w:rsidR="00E22D77" w:rsidRPr="00E22D77">
        <w:rPr>
          <w:noProof/>
          <w:spacing w:val="-6"/>
        </w:rPr>
        <w:t xml:space="preserve"> v </w:t>
      </w:r>
      <w:r w:rsidRPr="00E22D77">
        <w:rPr>
          <w:noProof/>
          <w:spacing w:val="-6"/>
        </w:rPr>
        <w:t>roku 2023 preto môže pokračovať, čo zvyšuje potrebu zvýšeného úsilia na zabezpečenie súdržnosti</w:t>
      </w:r>
      <w:r w:rsidR="00E22D77" w:rsidRPr="00E22D77">
        <w:rPr>
          <w:noProof/>
          <w:spacing w:val="-6"/>
        </w:rPr>
        <w:t xml:space="preserve"> a </w:t>
      </w:r>
      <w:r w:rsidRPr="00E22D77">
        <w:rPr>
          <w:noProof/>
          <w:spacing w:val="-6"/>
        </w:rPr>
        <w:t>účinnosti.</w:t>
      </w:r>
    </w:p>
    <w:p w14:paraId="099DB3E8" w14:textId="77777777" w:rsidR="000A37D7" w:rsidRPr="00E22D77" w:rsidRDefault="000A37D7" w:rsidP="00E22D77">
      <w:pPr>
        <w:spacing w:after="0" w:line="240" w:lineRule="auto"/>
        <w:rPr>
          <w:rFonts w:eastAsia="Times New Roman" w:cs="Times New Roman"/>
          <w:noProof/>
          <w:szCs w:val="24"/>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312" w:type="dxa"/>
        </w:tblCellMar>
        <w:tblLook w:val="0000" w:firstRow="0" w:lastRow="0" w:firstColumn="0" w:lastColumn="0" w:noHBand="0" w:noVBand="0"/>
      </w:tblPr>
      <w:tblGrid>
        <w:gridCol w:w="9300"/>
      </w:tblGrid>
      <w:tr w:rsidR="000A37D7" w:rsidRPr="00E22D77" w14:paraId="05A7BF36" w14:textId="77777777" w:rsidTr="009E2847">
        <w:trPr>
          <w:trHeight w:val="841"/>
        </w:trPr>
        <w:tc>
          <w:tcPr>
            <w:tcW w:w="9300" w:type="dxa"/>
          </w:tcPr>
          <w:p w14:paraId="020B7745" w14:textId="27AF45EA" w:rsidR="000A37D7" w:rsidRPr="00E22D77" w:rsidRDefault="00E55F2F" w:rsidP="000A37D7">
            <w:pPr>
              <w:spacing w:before="120" w:after="120" w:line="240" w:lineRule="auto"/>
              <w:jc w:val="center"/>
              <w:rPr>
                <w:rFonts w:eastAsia="Times New Roman" w:cs="Times New Roman"/>
                <w:noProof/>
                <w:szCs w:val="24"/>
              </w:rPr>
            </w:pPr>
            <w:r w:rsidRPr="00E22D77">
              <w:rPr>
                <w:b/>
                <w:noProof/>
              </w:rPr>
              <w:t>Príklady vnútroštátnych kontrolných zoznamov prijatých alebo navrhnutých členskými štátmi</w:t>
            </w:r>
          </w:p>
          <w:p w14:paraId="0CEB3716" w14:textId="4F253BB6" w:rsidR="000A37D7" w:rsidRPr="00E22D77" w:rsidRDefault="000A37D7" w:rsidP="000A37D7">
            <w:pPr>
              <w:ind w:left="216"/>
              <w:contextualSpacing/>
              <w:rPr>
                <w:rFonts w:eastAsia="Calibri" w:cs="Times New Roman"/>
                <w:noProof/>
                <w:spacing w:val="-4"/>
                <w:szCs w:val="24"/>
              </w:rPr>
            </w:pPr>
            <w:r w:rsidRPr="00E22D77">
              <w:rPr>
                <w:b/>
                <w:noProof/>
                <w:spacing w:val="-4"/>
              </w:rPr>
              <w:t>Holandsko</w:t>
            </w:r>
            <w:r w:rsidRPr="00E22D77">
              <w:rPr>
                <w:noProof/>
                <w:spacing w:val="-4"/>
              </w:rPr>
              <w:t xml:space="preserve"> 23</w:t>
            </w:r>
            <w:r w:rsidR="00E22D77" w:rsidRPr="00E22D77">
              <w:rPr>
                <w:noProof/>
                <w:spacing w:val="-4"/>
              </w:rPr>
              <w:t>. júna</w:t>
            </w:r>
            <w:r w:rsidRPr="00E22D77">
              <w:rPr>
                <w:noProof/>
                <w:spacing w:val="-4"/>
              </w:rPr>
              <w:t xml:space="preserve"> 2023 prijalo vnútroštátny kontrolný zoznam,</w:t>
            </w:r>
            <w:r w:rsidR="00E22D77" w:rsidRPr="00E22D77">
              <w:rPr>
                <w:noProof/>
                <w:spacing w:val="-4"/>
              </w:rPr>
              <w:t xml:space="preserve"> v </w:t>
            </w:r>
            <w:r w:rsidRPr="00E22D77">
              <w:rPr>
                <w:noProof/>
                <w:spacing w:val="-4"/>
              </w:rPr>
              <w:t>ktorom sa stanovujú nové kontroly vývozu zariadení na výrobu polovodičov. Takéto kontroly odrážali rýchly pokrok</w:t>
            </w:r>
            <w:r w:rsidR="00E22D77" w:rsidRPr="00E22D77">
              <w:rPr>
                <w:noProof/>
                <w:spacing w:val="-4"/>
              </w:rPr>
              <w:t xml:space="preserve"> v </w:t>
            </w:r>
            <w:r w:rsidRPr="00E22D77">
              <w:rPr>
                <w:noProof/>
                <w:spacing w:val="-4"/>
              </w:rPr>
              <w:t>oblasti polovodičových technológií</w:t>
            </w:r>
            <w:r w:rsidR="00E22D77" w:rsidRPr="00E22D77">
              <w:rPr>
                <w:noProof/>
                <w:spacing w:val="-4"/>
              </w:rPr>
              <w:t xml:space="preserve"> a </w:t>
            </w:r>
            <w:r w:rsidRPr="00E22D77">
              <w:rPr>
                <w:noProof/>
                <w:spacing w:val="-4"/>
              </w:rPr>
              <w:t>zahŕňali diskusie</w:t>
            </w:r>
            <w:r w:rsidR="00E22D77" w:rsidRPr="00E22D77">
              <w:rPr>
                <w:noProof/>
                <w:spacing w:val="-4"/>
              </w:rPr>
              <w:t xml:space="preserve"> s </w:t>
            </w:r>
            <w:r w:rsidRPr="00E22D77">
              <w:rPr>
                <w:noProof/>
                <w:spacing w:val="-4"/>
              </w:rPr>
              <w:t>medzinárodnými partnermi</w:t>
            </w:r>
            <w:r w:rsidRPr="00E22D77">
              <w:rPr>
                <w:rFonts w:eastAsia="Calibri" w:cs="Times New Roman"/>
                <w:noProof/>
                <w:spacing w:val="-4"/>
                <w:szCs w:val="24"/>
                <w:vertAlign w:val="superscript"/>
              </w:rPr>
              <w:footnoteReference w:id="21"/>
            </w:r>
            <w:r w:rsidRPr="00E22D77">
              <w:rPr>
                <w:noProof/>
                <w:spacing w:val="-4"/>
              </w:rPr>
              <w:t>.</w:t>
            </w:r>
          </w:p>
          <w:p w14:paraId="6E0B1504" w14:textId="77777777" w:rsidR="001C0658" w:rsidRPr="00E22D77" w:rsidRDefault="001C0658" w:rsidP="000A37D7">
            <w:pPr>
              <w:ind w:left="216"/>
              <w:contextualSpacing/>
              <w:rPr>
                <w:rFonts w:eastAsia="Calibri" w:cs="Times New Roman"/>
                <w:noProof/>
                <w:szCs w:val="24"/>
              </w:rPr>
            </w:pPr>
          </w:p>
          <w:p w14:paraId="36ACF022" w14:textId="1C2DD894" w:rsidR="000A37D7" w:rsidRPr="00E22D77" w:rsidRDefault="000A37D7" w:rsidP="000A37D7">
            <w:pPr>
              <w:ind w:left="216"/>
              <w:contextualSpacing/>
              <w:rPr>
                <w:rFonts w:eastAsia="Calibri" w:cs="Times New Roman"/>
                <w:noProof/>
                <w:szCs w:val="24"/>
              </w:rPr>
            </w:pPr>
            <w:r w:rsidRPr="00E22D77">
              <w:rPr>
                <w:b/>
                <w:noProof/>
              </w:rPr>
              <w:t>Španielsko</w:t>
            </w:r>
            <w:r w:rsidRPr="00E22D77">
              <w:rPr>
                <w:noProof/>
              </w:rPr>
              <w:t xml:space="preserve"> prijalo 31</w:t>
            </w:r>
            <w:r w:rsidR="00E22D77">
              <w:rPr>
                <w:noProof/>
              </w:rPr>
              <w:t>. mája</w:t>
            </w:r>
            <w:r w:rsidRPr="00E22D77">
              <w:rPr>
                <w:noProof/>
              </w:rPr>
              <w:t xml:space="preserve"> 2023 vnútroštátny kontrolný zoznam, ktorým sa zavádzajú nové kontroly vývozu kvantovej výpočtovej techniky, aditívnej výroby</w:t>
            </w:r>
            <w:r w:rsidR="00E22D77">
              <w:rPr>
                <w:noProof/>
              </w:rPr>
              <w:t xml:space="preserve"> a </w:t>
            </w:r>
            <w:r w:rsidRPr="00E22D77">
              <w:rPr>
                <w:noProof/>
              </w:rPr>
              <w:t>iných vznikajúcich technológií</w:t>
            </w:r>
            <w:r w:rsidR="00E22D77">
              <w:rPr>
                <w:noProof/>
              </w:rPr>
              <w:t xml:space="preserve"> z </w:t>
            </w:r>
            <w:r w:rsidRPr="00E22D77">
              <w:rPr>
                <w:noProof/>
              </w:rPr>
              <w:t>dôvodov verejnej bezpečnosti</w:t>
            </w:r>
            <w:r w:rsidR="009E2847" w:rsidRPr="00E22D77">
              <w:rPr>
                <w:rStyle w:val="Odkaznapoznmkupodiarou"/>
                <w:rFonts w:eastAsia="Calibri" w:cs="Times New Roman"/>
                <w:noProof/>
                <w:szCs w:val="24"/>
              </w:rPr>
              <w:footnoteReference w:id="22"/>
            </w:r>
            <w:r w:rsidRPr="00E22D77">
              <w:rPr>
                <w:noProof/>
              </w:rPr>
              <w:t>.</w:t>
            </w:r>
          </w:p>
          <w:p w14:paraId="037C4BA3" w14:textId="77777777" w:rsidR="001C0658" w:rsidRPr="00E22D77" w:rsidRDefault="001C0658" w:rsidP="000A37D7">
            <w:pPr>
              <w:ind w:left="216"/>
              <w:contextualSpacing/>
              <w:rPr>
                <w:rFonts w:eastAsia="Calibri" w:cs="Times New Roman"/>
                <w:noProof/>
                <w:szCs w:val="24"/>
              </w:rPr>
            </w:pPr>
          </w:p>
          <w:p w14:paraId="2385081C" w14:textId="392FC0F8" w:rsidR="000A37D7" w:rsidRPr="00E22D77" w:rsidRDefault="000A37D7" w:rsidP="000A37D7">
            <w:pPr>
              <w:ind w:left="216"/>
              <w:contextualSpacing/>
              <w:rPr>
                <w:rFonts w:eastAsia="Calibri" w:cs="Times New Roman"/>
                <w:noProof/>
                <w:spacing w:val="-4"/>
                <w:szCs w:val="24"/>
              </w:rPr>
            </w:pPr>
            <w:r w:rsidRPr="00E22D77">
              <w:rPr>
                <w:b/>
                <w:noProof/>
                <w:spacing w:val="-4"/>
              </w:rPr>
              <w:t>Litva</w:t>
            </w:r>
            <w:r w:rsidRPr="00E22D77">
              <w:rPr>
                <w:noProof/>
                <w:spacing w:val="-4"/>
              </w:rPr>
              <w:t xml:space="preserve"> 28</w:t>
            </w:r>
            <w:r w:rsidR="00E22D77" w:rsidRPr="00E22D77">
              <w:rPr>
                <w:noProof/>
                <w:spacing w:val="-4"/>
              </w:rPr>
              <w:t>. júna</w:t>
            </w:r>
            <w:r w:rsidRPr="00E22D77">
              <w:rPr>
                <w:noProof/>
                <w:spacing w:val="-4"/>
              </w:rPr>
              <w:t xml:space="preserve"> 2023 prijala vnútroštátny kontrolný zoznam, ktorým sa zakazuje vývoz položiek zo zoznamu colného zatriedenia, ktorý okrem iného zahŕňa letecké motory, stroje, ako aj meracie</w:t>
            </w:r>
            <w:r w:rsidR="00E22D77" w:rsidRPr="00E22D77">
              <w:rPr>
                <w:noProof/>
                <w:spacing w:val="-4"/>
              </w:rPr>
              <w:t xml:space="preserve"> a </w:t>
            </w:r>
            <w:r w:rsidRPr="00E22D77">
              <w:rPr>
                <w:noProof/>
                <w:spacing w:val="-4"/>
              </w:rPr>
              <w:t>elektronické zariadenia. Tieto kontroly sú zamerané na riešenie hrozby pre bezpečnosť Litvy, ktorú predstavuje vojenská agresia zahraničných štátov voči Ukrajine,</w:t>
            </w:r>
            <w:r w:rsidR="00E22D77" w:rsidRPr="00E22D77">
              <w:rPr>
                <w:noProof/>
                <w:spacing w:val="-4"/>
              </w:rPr>
              <w:t xml:space="preserve"> a </w:t>
            </w:r>
            <w:r w:rsidRPr="00E22D77">
              <w:rPr>
                <w:noProof/>
                <w:spacing w:val="-4"/>
              </w:rPr>
              <w:t>ich cieľom je znížiť túto hrozbu obmedzením technických schopností zahraničných štátov viesť útočnú vojnu na Ukrajine.</w:t>
            </w:r>
            <w:r w:rsidRPr="00E22D77">
              <w:rPr>
                <w:rFonts w:eastAsia="Calibri" w:cs="Times New Roman"/>
                <w:noProof/>
                <w:spacing w:val="-4"/>
                <w:szCs w:val="24"/>
                <w:vertAlign w:val="superscript"/>
              </w:rPr>
              <w:footnoteReference w:id="23"/>
            </w:r>
            <w:r w:rsidRPr="00E22D77">
              <w:rPr>
                <w:noProof/>
                <w:spacing w:val="-4"/>
              </w:rPr>
              <w:t xml:space="preserve"> Uznesenie</w:t>
            </w:r>
            <w:r w:rsidR="00E22D77" w:rsidRPr="00E22D77">
              <w:rPr>
                <w:noProof/>
                <w:spacing w:val="-4"/>
              </w:rPr>
              <w:t xml:space="preserve"> z </w:t>
            </w:r>
            <w:r w:rsidRPr="00E22D77">
              <w:rPr>
                <w:noProof/>
                <w:spacing w:val="-4"/>
              </w:rPr>
              <w:t>júna bolo zmenené 15</w:t>
            </w:r>
            <w:r w:rsidR="00E22D77" w:rsidRPr="00E22D77">
              <w:rPr>
                <w:noProof/>
                <w:spacing w:val="-4"/>
              </w:rPr>
              <w:t>. novembra</w:t>
            </w:r>
            <w:r w:rsidRPr="00E22D77">
              <w:rPr>
                <w:noProof/>
                <w:spacing w:val="-4"/>
              </w:rPr>
              <w:t xml:space="preserve"> 2023.</w:t>
            </w:r>
            <w:r w:rsidR="00EA4F23" w:rsidRPr="00E22D77">
              <w:rPr>
                <w:rStyle w:val="Odkaznapoznmkupodiarou"/>
                <w:noProof/>
                <w:spacing w:val="-4"/>
              </w:rPr>
              <w:footnoteReference w:id="24"/>
            </w:r>
          </w:p>
          <w:p w14:paraId="55D465A1" w14:textId="77777777" w:rsidR="001C0658" w:rsidRPr="00E22D77" w:rsidRDefault="001C0658" w:rsidP="000A37D7">
            <w:pPr>
              <w:ind w:left="216"/>
              <w:contextualSpacing/>
              <w:rPr>
                <w:rFonts w:eastAsia="Calibri" w:cs="Times New Roman"/>
                <w:noProof/>
                <w:szCs w:val="24"/>
              </w:rPr>
            </w:pPr>
          </w:p>
          <w:p w14:paraId="29E4273F" w14:textId="5184088E" w:rsidR="00E22D77" w:rsidRDefault="000A37D7" w:rsidP="000A37D7">
            <w:pPr>
              <w:ind w:left="216"/>
              <w:contextualSpacing/>
              <w:rPr>
                <w:noProof/>
              </w:rPr>
            </w:pPr>
            <w:r w:rsidRPr="00E22D77">
              <w:rPr>
                <w:b/>
                <w:noProof/>
              </w:rPr>
              <w:lastRenderedPageBreak/>
              <w:t>Fínsko</w:t>
            </w:r>
            <w:r w:rsidRPr="00E22D77">
              <w:rPr>
                <w:noProof/>
              </w:rPr>
              <w:t xml:space="preserve"> začalo 10</w:t>
            </w:r>
            <w:r w:rsidR="00E22D77">
              <w:rPr>
                <w:noProof/>
              </w:rPr>
              <w:t>. novembra</w:t>
            </w:r>
            <w:r w:rsidRPr="00E22D77">
              <w:rPr>
                <w:noProof/>
              </w:rPr>
              <w:t xml:space="preserve"> 2023 verejnú konzultáciu</w:t>
            </w:r>
            <w:r w:rsidR="00E22D77">
              <w:rPr>
                <w:noProof/>
              </w:rPr>
              <w:t xml:space="preserve"> o </w:t>
            </w:r>
            <w:r w:rsidRPr="00E22D77">
              <w:rPr>
                <w:noProof/>
              </w:rPr>
              <w:t>návrhoch vnútroštátnych opatrení, ktoré by</w:t>
            </w:r>
            <w:r w:rsidR="00E22D77">
              <w:rPr>
                <w:noProof/>
              </w:rPr>
              <w:t xml:space="preserve"> v </w:t>
            </w:r>
            <w:r w:rsidRPr="00E22D77">
              <w:rPr>
                <w:noProof/>
              </w:rPr>
              <w:t>prípade prijatia zahŕňali kontroly vznikajúcich technológií, ako sú integrované obvody, kvantové počítače</w:t>
            </w:r>
            <w:r w:rsidR="00E22D77">
              <w:rPr>
                <w:noProof/>
              </w:rPr>
              <w:t xml:space="preserve"> a </w:t>
            </w:r>
            <w:r w:rsidRPr="00E22D77">
              <w:rPr>
                <w:noProof/>
              </w:rPr>
              <w:t>aditívne výrobné zariadenia</w:t>
            </w:r>
            <w:r w:rsidRPr="00E22D77">
              <w:rPr>
                <w:rFonts w:eastAsia="Calibri" w:cs="Times New Roman"/>
                <w:noProof/>
                <w:szCs w:val="24"/>
                <w:vertAlign w:val="superscript"/>
              </w:rPr>
              <w:footnoteReference w:id="25"/>
            </w:r>
            <w:r w:rsidR="00E22D77">
              <w:rPr>
                <w:noProof/>
              </w:rPr>
              <w:t>.</w:t>
            </w:r>
          </w:p>
          <w:p w14:paraId="4194D477" w14:textId="68CA09BB" w:rsidR="001C0658" w:rsidRPr="00E22D77" w:rsidRDefault="001C0658" w:rsidP="000A37D7">
            <w:pPr>
              <w:ind w:left="216"/>
              <w:contextualSpacing/>
              <w:rPr>
                <w:rFonts w:eastAsia="Calibri" w:cs="Times New Roman"/>
                <w:noProof/>
                <w:sz w:val="22"/>
              </w:rPr>
            </w:pPr>
          </w:p>
        </w:tc>
      </w:tr>
    </w:tbl>
    <w:p w14:paraId="5A104B96" w14:textId="77777777" w:rsidR="000A37D7" w:rsidRPr="00E22D77" w:rsidRDefault="000A37D7" w:rsidP="000A37D7">
      <w:pPr>
        <w:keepNext/>
        <w:numPr>
          <w:ilvl w:val="0"/>
          <w:numId w:val="12"/>
        </w:numPr>
        <w:spacing w:before="360" w:after="120" w:line="240" w:lineRule="auto"/>
        <w:ind w:left="432" w:hanging="432"/>
        <w:outlineLvl w:val="0"/>
        <w:rPr>
          <w:rFonts w:eastAsia="Times New Roman" w:cs="Times New Roman"/>
          <w:b/>
          <w:bCs/>
          <w:smallCaps/>
          <w:noProof/>
          <w:szCs w:val="24"/>
        </w:rPr>
      </w:pPr>
      <w:bookmarkStart w:id="18" w:name="_Toc156899403"/>
      <w:bookmarkStart w:id="19" w:name="_Toc158197725"/>
      <w:r w:rsidRPr="00E22D77">
        <w:rPr>
          <w:b/>
          <w:smallCaps/>
          <w:noProof/>
        </w:rPr>
        <w:lastRenderedPageBreak/>
        <w:t>Analýza súčasného rámca</w:t>
      </w:r>
      <w:bookmarkEnd w:id="18"/>
      <w:bookmarkEnd w:id="19"/>
    </w:p>
    <w:p w14:paraId="3E309DE6" w14:textId="4A5A2D97" w:rsidR="000A37D7" w:rsidRPr="00E22D77" w:rsidRDefault="000A37D7"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20" w:name="_Toc156899404"/>
      <w:bookmarkStart w:id="21" w:name="_Toc158197726"/>
      <w:r w:rsidRPr="00E22D77">
        <w:rPr>
          <w:b/>
          <w:noProof/>
        </w:rPr>
        <w:t>Riziko nesúrodej škály kontrol vývozu</w:t>
      </w:r>
      <w:r w:rsidR="00E22D77">
        <w:rPr>
          <w:b/>
          <w:noProof/>
        </w:rPr>
        <w:t xml:space="preserve"> v </w:t>
      </w:r>
      <w:r w:rsidRPr="00E22D77">
        <w:rPr>
          <w:b/>
          <w:noProof/>
        </w:rPr>
        <w:t>Európskej únii</w:t>
      </w:r>
      <w:bookmarkEnd w:id="20"/>
      <w:bookmarkEnd w:id="21"/>
    </w:p>
    <w:p w14:paraId="2DE940BA" w14:textId="064E81D0" w:rsidR="00E22D77" w:rsidRPr="00E22D77" w:rsidRDefault="00E55F2F" w:rsidP="000A37D7">
      <w:pPr>
        <w:spacing w:before="120" w:after="120" w:line="240" w:lineRule="auto"/>
        <w:rPr>
          <w:noProof/>
          <w:spacing w:val="-4"/>
        </w:rPr>
      </w:pPr>
      <w:r w:rsidRPr="00E22D77">
        <w:rPr>
          <w:noProof/>
          <w:spacing w:val="-4"/>
        </w:rPr>
        <w:t>Už pred rokom 2021 mali členské štáty možnosť prijať vnútroštátne kontroly mimo rámca EÚ. Vyvíjajúci sa geopolitický kontext, čoraz častejšie využívanie kontrol vývozu</w:t>
      </w:r>
      <w:r w:rsidR="00E22D77" w:rsidRPr="00E22D77">
        <w:rPr>
          <w:noProof/>
          <w:spacing w:val="-4"/>
        </w:rPr>
        <w:t xml:space="preserve"> a </w:t>
      </w:r>
      <w:r w:rsidRPr="00E22D77">
        <w:rPr>
          <w:noProof/>
          <w:spacing w:val="-4"/>
        </w:rPr>
        <w:t>zvyšujúca sa dynamickosť</w:t>
      </w:r>
      <w:r w:rsidR="00E22D77" w:rsidRPr="00E22D77">
        <w:rPr>
          <w:noProof/>
          <w:spacing w:val="-4"/>
        </w:rPr>
        <w:t xml:space="preserve"> v </w:t>
      </w:r>
      <w:r w:rsidRPr="00E22D77">
        <w:rPr>
          <w:noProof/>
          <w:spacing w:val="-4"/>
        </w:rPr>
        <w:t>otázke vykonávania koordinovaných kontrol podľa nariadenia EÚ</w:t>
      </w:r>
      <w:r w:rsidR="00E22D77" w:rsidRPr="00E22D77">
        <w:rPr>
          <w:noProof/>
          <w:spacing w:val="-4"/>
        </w:rPr>
        <w:t xml:space="preserve"> o </w:t>
      </w:r>
      <w:r w:rsidRPr="00E22D77">
        <w:rPr>
          <w:noProof/>
          <w:spacing w:val="-4"/>
        </w:rPr>
        <w:t>položkách</w:t>
      </w:r>
      <w:r w:rsidR="00E22D77" w:rsidRPr="00E22D77">
        <w:rPr>
          <w:noProof/>
          <w:spacing w:val="-4"/>
        </w:rPr>
        <w:t xml:space="preserve"> s </w:t>
      </w:r>
      <w:r w:rsidRPr="00E22D77">
        <w:rPr>
          <w:noProof/>
          <w:spacing w:val="-4"/>
        </w:rPr>
        <w:t>dvojakým použitím</w:t>
      </w:r>
      <w:r w:rsidR="00E22D77" w:rsidRPr="00E22D77">
        <w:rPr>
          <w:noProof/>
          <w:spacing w:val="-4"/>
        </w:rPr>
        <w:t xml:space="preserve"> z </w:t>
      </w:r>
      <w:r w:rsidRPr="00E22D77">
        <w:rPr>
          <w:noProof/>
          <w:spacing w:val="-4"/>
        </w:rPr>
        <w:t>roku 2021 však viac zviditeľňujú riziko, že nesúrodá škála kontrol vývozu pre Európsku úniu bude mať negatívny vplyv na bezpečnostné záujmy Únie</w:t>
      </w:r>
      <w:r w:rsidR="00E22D77" w:rsidRPr="00E22D77">
        <w:rPr>
          <w:noProof/>
          <w:spacing w:val="-4"/>
        </w:rPr>
        <w:t xml:space="preserve"> a </w:t>
      </w:r>
      <w:r w:rsidRPr="00E22D77">
        <w:rPr>
          <w:noProof/>
          <w:spacing w:val="-4"/>
        </w:rPr>
        <w:t>jej členských štátov</w:t>
      </w:r>
      <w:r w:rsidR="00E22D77" w:rsidRPr="00E22D77">
        <w:rPr>
          <w:noProof/>
          <w:spacing w:val="-4"/>
        </w:rPr>
        <w:t>.</w:t>
      </w:r>
    </w:p>
    <w:p w14:paraId="6A264350" w14:textId="3FBB7E8C" w:rsidR="000A37D7" w:rsidRPr="00E22D77" w:rsidRDefault="000A37D7" w:rsidP="000A37D7">
      <w:pPr>
        <w:spacing w:before="120" w:after="120" w:line="240" w:lineRule="auto"/>
        <w:rPr>
          <w:rFonts w:eastAsia="Times New Roman" w:cs="Times New Roman"/>
          <w:noProof/>
          <w:szCs w:val="24"/>
        </w:rPr>
      </w:pPr>
      <w:r w:rsidRPr="00E22D77">
        <w:rPr>
          <w:noProof/>
        </w:rPr>
        <w:t>Uverejnenie prvého súboru vnútroštátnych kontrolných zoznamov EÚ 20</w:t>
      </w:r>
      <w:r w:rsidR="00E22D77">
        <w:rPr>
          <w:noProof/>
        </w:rPr>
        <w:t>. októbra</w:t>
      </w:r>
      <w:r w:rsidRPr="00E22D77">
        <w:rPr>
          <w:noProof/>
        </w:rPr>
        <w:t xml:space="preserve"> 2023 predstavovalo dôležitý krok pre kontroly vývozu EÚ. Po prvýkrát ponúka členským štátom možnosť koordinovať svoje vnútroštátne kontroly vývozu na úrovni EÚ</w:t>
      </w:r>
      <w:r w:rsidR="00E22D77">
        <w:rPr>
          <w:noProof/>
        </w:rPr>
        <w:t xml:space="preserve"> v </w:t>
      </w:r>
      <w:r w:rsidRPr="00E22D77">
        <w:rPr>
          <w:noProof/>
        </w:rPr>
        <w:t>nadväznosti na postupy stanovené</w:t>
      </w:r>
      <w:r w:rsidR="00E22D77">
        <w:rPr>
          <w:noProof/>
        </w:rPr>
        <w:t xml:space="preserve"> v </w:t>
      </w:r>
      <w:r w:rsidRPr="00E22D77">
        <w:rPr>
          <w:noProof/>
        </w:rPr>
        <w:t>článkoch 9</w:t>
      </w:r>
      <w:r w:rsidR="00E22D77">
        <w:rPr>
          <w:noProof/>
        </w:rPr>
        <w:t xml:space="preserve"> a </w:t>
      </w:r>
      <w:r w:rsidRPr="00E22D77">
        <w:rPr>
          <w:noProof/>
        </w:rPr>
        <w:t>10 nariadenia</w:t>
      </w:r>
      <w:r w:rsidR="00E22D77">
        <w:rPr>
          <w:noProof/>
        </w:rPr>
        <w:t xml:space="preserve"> o </w:t>
      </w:r>
      <w:r w:rsidRPr="00E22D77">
        <w:rPr>
          <w:noProof/>
        </w:rPr>
        <w:t>položkách</w:t>
      </w:r>
      <w:r w:rsidR="00E22D77">
        <w:rPr>
          <w:noProof/>
        </w:rPr>
        <w:t xml:space="preserve"> s </w:t>
      </w:r>
      <w:r w:rsidRPr="00E22D77">
        <w:rPr>
          <w:noProof/>
        </w:rPr>
        <w:t>dvojakým použitím. Počiatočné vykonávanie týchto ustanovení členskými štátmi však naznačuje, že existujú potenciálne závažné nedostatky, ktoré môžu mať vplyv na účinnosť systému kontroly vývozu EÚ.</w:t>
      </w:r>
    </w:p>
    <w:p w14:paraId="58F14E32" w14:textId="0F7A0A01" w:rsidR="000A37D7" w:rsidRPr="00E22D77" w:rsidRDefault="000A37D7" w:rsidP="000A37D7">
      <w:pPr>
        <w:spacing w:before="120" w:after="120" w:line="240" w:lineRule="auto"/>
        <w:rPr>
          <w:rFonts w:eastAsia="Times New Roman" w:cs="Times New Roman"/>
          <w:noProof/>
          <w:spacing w:val="-4"/>
          <w:szCs w:val="24"/>
        </w:rPr>
      </w:pPr>
      <w:r w:rsidRPr="00E22D77">
        <w:rPr>
          <w:noProof/>
          <w:spacing w:val="-4"/>
        </w:rPr>
        <w:t xml:space="preserve">Po prvé, </w:t>
      </w:r>
      <w:r w:rsidRPr="00E22D77">
        <w:rPr>
          <w:noProof/>
          <w:spacing w:val="-4"/>
          <w:u w:val="single"/>
        </w:rPr>
        <w:t>chýba transparentnosť</w:t>
      </w:r>
      <w:r w:rsidR="00E22D77" w:rsidRPr="00E22D77">
        <w:rPr>
          <w:noProof/>
          <w:spacing w:val="-4"/>
          <w:u w:val="single"/>
        </w:rPr>
        <w:t xml:space="preserve"> a </w:t>
      </w:r>
      <w:r w:rsidRPr="00E22D77">
        <w:rPr>
          <w:noProof/>
          <w:spacing w:val="-4"/>
          <w:u w:val="single"/>
        </w:rPr>
        <w:t>konzultácie</w:t>
      </w:r>
      <w:r w:rsidRPr="00E22D77">
        <w:rPr>
          <w:noProof/>
          <w:spacing w:val="-4"/>
        </w:rPr>
        <w:t>. Hoci súčasný rámec poskytuje členským štátom možnosť navrhovať vnútroštátne kontrolné zoznamy, nevyžaduje sa od nich, aby sa pred ich prijatím navzájom informovali</w:t>
      </w:r>
      <w:r w:rsidR="00E22D77" w:rsidRPr="00E22D77">
        <w:rPr>
          <w:noProof/>
          <w:spacing w:val="-4"/>
        </w:rPr>
        <w:t xml:space="preserve"> a </w:t>
      </w:r>
      <w:r w:rsidRPr="00E22D77">
        <w:rPr>
          <w:noProof/>
          <w:spacing w:val="-4"/>
        </w:rPr>
        <w:t>konzultovali ani aby informovali Komisiu</w:t>
      </w:r>
      <w:r w:rsidR="00E22D77" w:rsidRPr="00E22D77">
        <w:rPr>
          <w:noProof/>
          <w:spacing w:val="-4"/>
        </w:rPr>
        <w:t xml:space="preserve"> a </w:t>
      </w:r>
      <w:r w:rsidRPr="00E22D77">
        <w:rPr>
          <w:noProof/>
          <w:spacing w:val="-4"/>
        </w:rPr>
        <w:t>konzultovali</w:t>
      </w:r>
      <w:r w:rsidR="00E22D77" w:rsidRPr="00E22D77">
        <w:rPr>
          <w:noProof/>
          <w:spacing w:val="-4"/>
        </w:rPr>
        <w:t xml:space="preserve"> s </w:t>
      </w:r>
      <w:r w:rsidRPr="00E22D77">
        <w:rPr>
          <w:noProof/>
          <w:spacing w:val="-4"/>
        </w:rPr>
        <w:t>ňou. Takéto konzultácie</w:t>
      </w:r>
      <w:r w:rsidR="00E22D77" w:rsidRPr="00E22D77">
        <w:rPr>
          <w:noProof/>
          <w:spacing w:val="-4"/>
        </w:rPr>
        <w:t xml:space="preserve"> a </w:t>
      </w:r>
      <w:r w:rsidRPr="00E22D77">
        <w:rPr>
          <w:noProof/>
          <w:spacing w:val="-4"/>
        </w:rPr>
        <w:t>širšie zváženie možných vplyvov vnútroštátnych kontrol</w:t>
      </w:r>
      <w:r w:rsidR="00E22D77" w:rsidRPr="00E22D77">
        <w:rPr>
          <w:noProof/>
          <w:spacing w:val="-4"/>
        </w:rPr>
        <w:t xml:space="preserve"> v </w:t>
      </w:r>
      <w:r w:rsidRPr="00E22D77">
        <w:rPr>
          <w:noProof/>
          <w:spacing w:val="-4"/>
        </w:rPr>
        <w:t>celej EÚ sú obzvlášť dôležité, pretože by sa na ne mohli spoľahnúť iné členské štáty, mohli by ovplyvniť podniky</w:t>
      </w:r>
      <w:r w:rsidR="00E22D77" w:rsidRPr="00E22D77">
        <w:rPr>
          <w:noProof/>
          <w:spacing w:val="-4"/>
        </w:rPr>
        <w:t xml:space="preserve"> a </w:t>
      </w:r>
      <w:r w:rsidRPr="00E22D77">
        <w:rPr>
          <w:noProof/>
          <w:spacing w:val="-4"/>
        </w:rPr>
        <w:t>dodávateľské reťazce</w:t>
      </w:r>
      <w:r w:rsidR="00E22D77" w:rsidRPr="00E22D77">
        <w:rPr>
          <w:noProof/>
          <w:spacing w:val="-4"/>
        </w:rPr>
        <w:t xml:space="preserve"> v </w:t>
      </w:r>
      <w:r w:rsidRPr="00E22D77">
        <w:rPr>
          <w:noProof/>
          <w:spacing w:val="-4"/>
        </w:rPr>
        <w:t>iných členských štátoch alebo vyvolať reakcie tretích krajín voči EÚ ako celku alebo viacerým členským štátom,</w:t>
      </w:r>
      <w:r w:rsidR="00E22D77" w:rsidRPr="00E22D77">
        <w:rPr>
          <w:noProof/>
          <w:spacing w:val="-4"/>
        </w:rPr>
        <w:t xml:space="preserve"> a </w:t>
      </w:r>
      <w:r w:rsidRPr="00E22D77">
        <w:rPr>
          <w:noProof/>
          <w:spacing w:val="-4"/>
        </w:rPr>
        <w:t>nielen členskému štátu, ktorý prijíma kontrolu.</w:t>
      </w:r>
      <w:r w:rsidR="00206628" w:rsidRPr="00E22D77">
        <w:rPr>
          <w:rStyle w:val="Odkaznapoznmkupodiarou"/>
          <w:rFonts w:eastAsia="Times New Roman" w:cs="Times New Roman"/>
          <w:noProof/>
          <w:spacing w:val="-4"/>
          <w:szCs w:val="24"/>
        </w:rPr>
        <w:footnoteReference w:id="26"/>
      </w:r>
    </w:p>
    <w:p w14:paraId="04DDC187" w14:textId="0BBDAA3D" w:rsidR="00E22D77" w:rsidRPr="00E22D77" w:rsidRDefault="000A37D7" w:rsidP="00FF1EAF">
      <w:pPr>
        <w:spacing w:before="120" w:after="120" w:line="240" w:lineRule="auto"/>
        <w:rPr>
          <w:noProof/>
          <w:spacing w:val="-4"/>
        </w:rPr>
      </w:pPr>
      <w:r w:rsidRPr="00E22D77">
        <w:rPr>
          <w:noProof/>
          <w:spacing w:val="-4"/>
        </w:rPr>
        <w:t xml:space="preserve">Po druhé, </w:t>
      </w:r>
      <w:r w:rsidRPr="00E22D77">
        <w:rPr>
          <w:noProof/>
          <w:spacing w:val="-4"/>
          <w:u w:val="single"/>
        </w:rPr>
        <w:t>nie je isté, ako alebo kedy môžu iné členské štáty vykonať kontroly</w:t>
      </w:r>
      <w:r w:rsidRPr="00E22D77">
        <w:rPr>
          <w:noProof/>
          <w:spacing w:val="-4"/>
        </w:rPr>
        <w:t xml:space="preserve"> uverejnené</w:t>
      </w:r>
      <w:r w:rsidR="00E22D77" w:rsidRPr="00E22D77">
        <w:rPr>
          <w:noProof/>
          <w:spacing w:val="-4"/>
        </w:rPr>
        <w:t xml:space="preserve"> v </w:t>
      </w:r>
      <w:r w:rsidRPr="00E22D77">
        <w:rPr>
          <w:noProof/>
          <w:spacing w:val="-4"/>
        </w:rPr>
        <w:t>kompilácii vnútroštátnych kontrolných zoznamov. Členský štát, ktorý prijal pôvodnú kontrolu, nebude vedieť, či ju prevzali iní, ani nebude vedieť</w:t>
      </w:r>
      <w:r w:rsidR="00E22D77" w:rsidRPr="00E22D77">
        <w:rPr>
          <w:noProof/>
          <w:spacing w:val="-4"/>
        </w:rPr>
        <w:t xml:space="preserve"> o </w:t>
      </w:r>
      <w:r w:rsidRPr="00E22D77">
        <w:rPr>
          <w:noProof/>
          <w:spacing w:val="-4"/>
        </w:rPr>
        <w:t>rozhodnutiach</w:t>
      </w:r>
      <w:r w:rsidR="00E22D77" w:rsidRPr="00E22D77">
        <w:rPr>
          <w:noProof/>
          <w:spacing w:val="-4"/>
        </w:rPr>
        <w:t xml:space="preserve"> o </w:t>
      </w:r>
      <w:r w:rsidRPr="00E22D77">
        <w:rPr>
          <w:noProof/>
          <w:spacing w:val="-4"/>
        </w:rPr>
        <w:t>povolení vývozu</w:t>
      </w:r>
      <w:r w:rsidR="00E22D77" w:rsidRPr="00E22D77">
        <w:rPr>
          <w:noProof/>
          <w:spacing w:val="-4"/>
        </w:rPr>
        <w:t xml:space="preserve"> v </w:t>
      </w:r>
      <w:r w:rsidRPr="00E22D77">
        <w:rPr>
          <w:noProof/>
          <w:spacing w:val="-4"/>
        </w:rPr>
        <w:t>inom členskom štáte na základe jeho kontrol.</w:t>
      </w:r>
      <w:r w:rsidRPr="00E22D77">
        <w:rPr>
          <w:rFonts w:eastAsia="Times New Roman" w:cs="Times New Roman"/>
          <w:noProof/>
          <w:spacing w:val="-4"/>
          <w:szCs w:val="24"/>
          <w:vertAlign w:val="superscript"/>
        </w:rPr>
        <w:footnoteReference w:id="27"/>
      </w:r>
      <w:bookmarkStart w:id="22" w:name="_Hlk150950353"/>
      <w:r w:rsidRPr="00E22D77">
        <w:rPr>
          <w:noProof/>
          <w:spacing w:val="-4"/>
        </w:rPr>
        <w:t xml:space="preserve"> Väčšina členských štátov vykonáva alebo plánuje vykonávať</w:t>
      </w:r>
      <w:bookmarkEnd w:id="22"/>
      <w:r w:rsidRPr="00E22D77">
        <w:rPr>
          <w:noProof/>
          <w:spacing w:val="-4"/>
        </w:rPr>
        <w:t xml:space="preserve"> kontroly uverejnených vnútroštátnych kontrolných zoznamov ako „univerzálne“ opatrenia.</w:t>
      </w:r>
      <w:r w:rsidRPr="00E22D77">
        <w:rPr>
          <w:rFonts w:eastAsia="Times New Roman" w:cs="Times New Roman"/>
          <w:noProof/>
          <w:spacing w:val="-4"/>
          <w:szCs w:val="24"/>
          <w:vertAlign w:val="superscript"/>
        </w:rPr>
        <w:footnoteReference w:id="28"/>
      </w:r>
      <w:r w:rsidRPr="00E22D77">
        <w:rPr>
          <w:noProof/>
          <w:spacing w:val="-4"/>
        </w:rPr>
        <w:t xml:space="preserve"> Hoci ide</w:t>
      </w:r>
      <w:r w:rsidR="00E22D77" w:rsidRPr="00E22D77">
        <w:rPr>
          <w:noProof/>
          <w:spacing w:val="-4"/>
        </w:rPr>
        <w:t xml:space="preserve"> o </w:t>
      </w:r>
      <w:r w:rsidRPr="00E22D77">
        <w:rPr>
          <w:noProof/>
          <w:spacing w:val="-4"/>
        </w:rPr>
        <w:t xml:space="preserve">plne legitímnu voľbu dotknutých členských štátov, takéto vykonávanie nevytvára všeobecne uplatniteľné pravidlo ani také pravidlo, ktoré by sa zverejnilo. Ak musí byť </w:t>
      </w:r>
      <w:r w:rsidRPr="00E22D77">
        <w:rPr>
          <w:noProof/>
          <w:spacing w:val="-4"/>
        </w:rPr>
        <w:lastRenderedPageBreak/>
        <w:t>každý vývozca individuálne informovaný</w:t>
      </w:r>
      <w:r w:rsidR="00E22D77" w:rsidRPr="00E22D77">
        <w:rPr>
          <w:noProof/>
          <w:spacing w:val="-4"/>
        </w:rPr>
        <w:t xml:space="preserve"> v </w:t>
      </w:r>
      <w:r w:rsidRPr="00E22D77">
        <w:rPr>
          <w:noProof/>
          <w:spacing w:val="-4"/>
        </w:rPr>
        <w:t>rámci „univerzálneho“ postupu, môže to byť administratívne náročné</w:t>
      </w:r>
      <w:r w:rsidR="00E22D77" w:rsidRPr="00E22D77">
        <w:rPr>
          <w:noProof/>
          <w:spacing w:val="-4"/>
        </w:rPr>
        <w:t xml:space="preserve"> a </w:t>
      </w:r>
      <w:r w:rsidRPr="00E22D77">
        <w:rPr>
          <w:noProof/>
          <w:spacing w:val="-4"/>
        </w:rPr>
        <w:t>nemusí zachytiť všetkých možných vývozcov príslušnej položky</w:t>
      </w:r>
      <w:r w:rsidR="00E22D77" w:rsidRPr="00E22D77">
        <w:rPr>
          <w:noProof/>
          <w:spacing w:val="-4"/>
        </w:rPr>
        <w:t>.</w:t>
      </w:r>
    </w:p>
    <w:p w14:paraId="618644AD" w14:textId="473C536D" w:rsidR="00E22D77" w:rsidRDefault="00FF1EAF" w:rsidP="000A37D7">
      <w:pPr>
        <w:spacing w:before="120" w:after="120" w:line="240" w:lineRule="auto"/>
        <w:rPr>
          <w:noProof/>
        </w:rPr>
      </w:pPr>
      <w:r w:rsidRPr="00E22D77">
        <w:rPr>
          <w:noProof/>
        </w:rPr>
        <w:t>Po tretie, aj keď nariadenie</w:t>
      </w:r>
      <w:r w:rsidR="00E22D77">
        <w:rPr>
          <w:noProof/>
        </w:rPr>
        <w:t xml:space="preserve"> o </w:t>
      </w:r>
      <w:r w:rsidRPr="00E22D77">
        <w:rPr>
          <w:noProof/>
        </w:rPr>
        <w:t>položkách</w:t>
      </w:r>
      <w:r w:rsidR="00E22D77">
        <w:rPr>
          <w:noProof/>
        </w:rPr>
        <w:t xml:space="preserve"> s </w:t>
      </w:r>
      <w:r w:rsidRPr="00E22D77">
        <w:rPr>
          <w:noProof/>
        </w:rPr>
        <w:t xml:space="preserve">dvojakým použitím poskytuje členským štátom možnosť prevziať kontroly vývozu podľa iných členských štátov, ich </w:t>
      </w:r>
      <w:r w:rsidRPr="00E22D77">
        <w:rPr>
          <w:noProof/>
          <w:u w:val="single"/>
        </w:rPr>
        <w:t>vnútroštátne právne predpisy im to nemusia umožňovať alebo aspoň obmedzovať ich schopnosť zverejňovať takéto opatrenia</w:t>
      </w:r>
      <w:r w:rsidRPr="00E22D77">
        <w:rPr>
          <w:noProof/>
        </w:rPr>
        <w:t>.</w:t>
      </w:r>
      <w:r w:rsidR="00793411" w:rsidRPr="00E22D77">
        <w:rPr>
          <w:rStyle w:val="Odkaznapoznmkupodiarou"/>
          <w:rFonts w:eastAsia="Times New Roman" w:cs="Times New Roman"/>
          <w:noProof/>
          <w:szCs w:val="24"/>
        </w:rPr>
        <w:footnoteReference w:id="29"/>
      </w:r>
      <w:r w:rsidR="00E22D77">
        <w:rPr>
          <w:noProof/>
        </w:rPr>
        <w:t xml:space="preserve"> V </w:t>
      </w:r>
      <w:r w:rsidRPr="00E22D77">
        <w:rPr>
          <w:noProof/>
        </w:rPr>
        <w:t>dôsledku toho nie sú</w:t>
      </w:r>
      <w:r w:rsidR="00E22D77">
        <w:rPr>
          <w:noProof/>
        </w:rPr>
        <w:t xml:space="preserve"> k </w:t>
      </w:r>
      <w:r w:rsidRPr="00E22D77">
        <w:rPr>
          <w:noProof/>
        </w:rPr>
        <w:t>dispozícii žiadne verejne dostupné informácie</w:t>
      </w:r>
      <w:r w:rsidR="00E22D77">
        <w:rPr>
          <w:noProof/>
        </w:rPr>
        <w:t xml:space="preserve"> o </w:t>
      </w:r>
      <w:r w:rsidRPr="00E22D77">
        <w:rPr>
          <w:noProof/>
        </w:rPr>
        <w:t>tom, ktoré vnútroštátne kontroly sa uplatňujú</w:t>
      </w:r>
      <w:r w:rsidR="00E22D77">
        <w:rPr>
          <w:noProof/>
        </w:rPr>
        <w:t xml:space="preserve"> v </w:t>
      </w:r>
      <w:r w:rsidRPr="00E22D77">
        <w:rPr>
          <w:noProof/>
        </w:rPr>
        <w:t>ktorom členskom štáte. Má to negatívny vplyv na ich schopnosť prispievať</w:t>
      </w:r>
      <w:r w:rsidR="00E22D77">
        <w:rPr>
          <w:noProof/>
        </w:rPr>
        <w:t xml:space="preserve"> k </w:t>
      </w:r>
      <w:r w:rsidRPr="00E22D77">
        <w:rPr>
          <w:noProof/>
        </w:rPr>
        <w:t>predvídateľnému, včasnému</w:t>
      </w:r>
      <w:r w:rsidR="00E22D77">
        <w:rPr>
          <w:noProof/>
        </w:rPr>
        <w:t xml:space="preserve"> a </w:t>
      </w:r>
      <w:r w:rsidRPr="00E22D77">
        <w:rPr>
          <w:noProof/>
        </w:rPr>
        <w:t>jednotnému vykonávaniu kontrol vývozu všetkými členskými štátmi</w:t>
      </w:r>
      <w:r w:rsidR="00E22D77">
        <w:rPr>
          <w:noProof/>
        </w:rPr>
        <w:t>.</w:t>
      </w:r>
    </w:p>
    <w:p w14:paraId="47DD5153" w14:textId="7CA65E4A" w:rsidR="000A37D7" w:rsidRPr="00E22D77" w:rsidRDefault="00BA2F32" w:rsidP="000A37D7">
      <w:pPr>
        <w:spacing w:before="120" w:after="120" w:line="240" w:lineRule="auto"/>
        <w:rPr>
          <w:rFonts w:eastAsia="Times New Roman" w:cs="Times New Roman"/>
          <w:noProof/>
          <w:szCs w:val="24"/>
        </w:rPr>
      </w:pPr>
      <w:r w:rsidRPr="00E22D77">
        <w:rPr>
          <w:noProof/>
        </w:rPr>
        <w:t xml:space="preserve">Po štvrté, táto situácia predstavuje riziko </w:t>
      </w:r>
      <w:r w:rsidRPr="00E22D77">
        <w:rPr>
          <w:noProof/>
          <w:u w:val="single"/>
        </w:rPr>
        <w:t>taktizovania pri výbere sídla</w:t>
      </w:r>
      <w:r w:rsidRPr="00E22D77">
        <w:rPr>
          <w:noProof/>
        </w:rPr>
        <w:t>. Vnútroštátne kontroly vývozu prijaté jedným členským štátom sa vzťahujú len na vývoz, ktorý opúšťa územie EÚ, ale nie na obchod</w:t>
      </w:r>
      <w:r w:rsidR="00E22D77">
        <w:rPr>
          <w:noProof/>
        </w:rPr>
        <w:t xml:space="preserve"> v </w:t>
      </w:r>
      <w:r w:rsidRPr="00E22D77">
        <w:rPr>
          <w:noProof/>
        </w:rPr>
        <w:t>rámci vnútorného trhu. Španielsky vývozca môže zistiť, že jeho výrobky</w:t>
      </w:r>
      <w:r w:rsidR="00E22D77">
        <w:rPr>
          <w:noProof/>
        </w:rPr>
        <w:t xml:space="preserve"> s </w:t>
      </w:r>
      <w:r w:rsidRPr="00E22D77">
        <w:rPr>
          <w:noProof/>
        </w:rPr>
        <w:t>dvojakým použitím sa nemôžu vyvážať zo Španielska do tretej krajiny mimo Únie, ale môžu sa predávať zákazníkom</w:t>
      </w:r>
      <w:r w:rsidR="00E22D77">
        <w:rPr>
          <w:noProof/>
        </w:rPr>
        <w:t xml:space="preserve"> v </w:t>
      </w:r>
      <w:r w:rsidRPr="00E22D77">
        <w:rPr>
          <w:noProof/>
        </w:rPr>
        <w:t>inom členskom štáte, ktorý neuplatňuje podobnú kontrolu. Potom by sa mohol legálne opätovne vyviezť</w:t>
      </w:r>
      <w:r w:rsidR="00E22D77">
        <w:rPr>
          <w:noProof/>
        </w:rPr>
        <w:t xml:space="preserve"> z </w:t>
      </w:r>
      <w:r w:rsidRPr="00E22D77">
        <w:rPr>
          <w:noProof/>
        </w:rPr>
        <w:t>tejto krajiny do tretej krajiny. Tým by sa jasne oslabili vnútroštátne kontroly</w:t>
      </w:r>
      <w:r w:rsidR="00E22D77">
        <w:rPr>
          <w:noProof/>
        </w:rPr>
        <w:t xml:space="preserve"> a </w:t>
      </w:r>
      <w:r w:rsidRPr="00E22D77">
        <w:rPr>
          <w:noProof/>
        </w:rPr>
        <w:t>stali by sa neúčinnými. Spoločnosti so sídlom</w:t>
      </w:r>
      <w:r w:rsidR="00E22D77">
        <w:rPr>
          <w:noProof/>
        </w:rPr>
        <w:t xml:space="preserve"> v </w:t>
      </w:r>
      <w:r w:rsidRPr="00E22D77">
        <w:rPr>
          <w:noProof/>
        </w:rPr>
        <w:t>členských štátoch,</w:t>
      </w:r>
      <w:r w:rsidR="00E22D77">
        <w:rPr>
          <w:noProof/>
        </w:rPr>
        <w:t xml:space="preserve"> v </w:t>
      </w:r>
      <w:r w:rsidRPr="00E22D77">
        <w:rPr>
          <w:noProof/>
        </w:rPr>
        <w:t>ktorých sa kontroly uplatňujú, by sa taktiež mohli dostať do konkurenčnej nevýhody. Okrem toho to môže viesť</w:t>
      </w:r>
      <w:r w:rsidR="00E22D77">
        <w:rPr>
          <w:noProof/>
        </w:rPr>
        <w:t xml:space="preserve"> k </w:t>
      </w:r>
      <w:r w:rsidRPr="00E22D77">
        <w:rPr>
          <w:noProof/>
        </w:rPr>
        <w:t>tomu, že dovozcovia zmenia svoje dodávateľské reťazce,</w:t>
      </w:r>
      <w:r w:rsidR="00E22D77">
        <w:rPr>
          <w:noProof/>
        </w:rPr>
        <w:t xml:space="preserve"> a </w:t>
      </w:r>
      <w:r w:rsidRPr="00E22D77">
        <w:rPr>
          <w:noProof/>
        </w:rPr>
        <w:t>dokonca odradiť členské štáty od zavedenia určitých kontrol</w:t>
      </w:r>
      <w:r w:rsidR="00E22D77">
        <w:rPr>
          <w:noProof/>
        </w:rPr>
        <w:t xml:space="preserve"> z </w:t>
      </w:r>
      <w:r w:rsidRPr="00E22D77">
        <w:rPr>
          <w:noProof/>
        </w:rPr>
        <w:t>obchodných dôvodov.</w:t>
      </w:r>
    </w:p>
    <w:p w14:paraId="1085BC8A" w14:textId="58788F4B" w:rsidR="000A37D7" w:rsidRPr="00E22D77" w:rsidRDefault="00722188" w:rsidP="000A37D7">
      <w:pPr>
        <w:spacing w:before="120" w:after="120" w:line="240" w:lineRule="auto"/>
        <w:rPr>
          <w:rFonts w:eastAsia="Times New Roman" w:cs="Times New Roman"/>
          <w:noProof/>
          <w:szCs w:val="24"/>
        </w:rPr>
      </w:pPr>
      <w:r w:rsidRPr="00E22D77">
        <w:rPr>
          <w:noProof/>
        </w:rPr>
        <w:t>Vzhľadom na uvedené faktory Komisia vidí riziko, že existujúci koordinačný mechanizmus medzi členskými štátmi nemôže zabezpečiť jednotný, včasný</w:t>
      </w:r>
      <w:r w:rsidR="00E22D77">
        <w:rPr>
          <w:noProof/>
        </w:rPr>
        <w:t xml:space="preserve"> a </w:t>
      </w:r>
      <w:r w:rsidRPr="00E22D77">
        <w:rPr>
          <w:noProof/>
        </w:rPr>
        <w:t>účinný systém kontrol, ktorý EÚ potrebuje. Malo by sa to riešiť</w:t>
      </w:r>
      <w:r w:rsidR="00E22D77">
        <w:rPr>
          <w:noProof/>
        </w:rPr>
        <w:t xml:space="preserve"> s </w:t>
      </w:r>
      <w:r w:rsidRPr="00E22D77">
        <w:rPr>
          <w:noProof/>
        </w:rPr>
        <w:t>cieľom posilniť európsku</w:t>
      </w:r>
      <w:r w:rsidR="00E22D77">
        <w:rPr>
          <w:noProof/>
        </w:rPr>
        <w:t xml:space="preserve"> a </w:t>
      </w:r>
      <w:r w:rsidRPr="00E22D77">
        <w:rPr>
          <w:noProof/>
        </w:rPr>
        <w:t>globálnu bezpečnosť, zabezpečiť vyrovnanejšie podmienky</w:t>
      </w:r>
      <w:r w:rsidR="00E22D77">
        <w:rPr>
          <w:noProof/>
        </w:rPr>
        <w:t xml:space="preserve"> a </w:t>
      </w:r>
      <w:r w:rsidRPr="00E22D77">
        <w:rPr>
          <w:noProof/>
        </w:rPr>
        <w:t>chrániť integritu vnútorného trhu; najmä</w:t>
      </w:r>
      <w:r w:rsidR="00E22D77">
        <w:rPr>
          <w:noProof/>
        </w:rPr>
        <w:t xml:space="preserve"> v </w:t>
      </w:r>
      <w:r w:rsidRPr="00E22D77">
        <w:rPr>
          <w:noProof/>
        </w:rPr>
        <w:t>časoch výrazného geopolitického napätia</w:t>
      </w:r>
      <w:r w:rsidR="00E22D77">
        <w:rPr>
          <w:noProof/>
        </w:rPr>
        <w:t xml:space="preserve"> a </w:t>
      </w:r>
      <w:r w:rsidRPr="00E22D77">
        <w:rPr>
          <w:noProof/>
        </w:rPr>
        <w:t>blokovania multilaterálnych režimov.</w:t>
      </w:r>
    </w:p>
    <w:p w14:paraId="759EB65F" w14:textId="2ED4C6E8" w:rsidR="000A37D7" w:rsidRPr="00E22D77" w:rsidRDefault="000A37D7"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23" w:name="_Toc156899405"/>
      <w:bookmarkStart w:id="24" w:name="_Toc158197727"/>
      <w:r w:rsidRPr="00E22D77">
        <w:rPr>
          <w:b/>
          <w:noProof/>
        </w:rPr>
        <w:t>Neexistujúci spoločný prístup</w:t>
      </w:r>
      <w:r w:rsidR="00E22D77">
        <w:rPr>
          <w:b/>
          <w:noProof/>
        </w:rPr>
        <w:t xml:space="preserve"> k </w:t>
      </w:r>
      <w:r w:rsidRPr="00E22D77">
        <w:rPr>
          <w:b/>
          <w:noProof/>
        </w:rPr>
        <w:t>cieľom bezpečnostnej</w:t>
      </w:r>
      <w:r w:rsidR="00E22D77">
        <w:rPr>
          <w:b/>
          <w:noProof/>
        </w:rPr>
        <w:t xml:space="preserve"> a </w:t>
      </w:r>
      <w:r w:rsidRPr="00E22D77">
        <w:rPr>
          <w:b/>
          <w:noProof/>
        </w:rPr>
        <w:t>obchodnej politiky Únie</w:t>
      </w:r>
      <w:r w:rsidR="00E22D77">
        <w:rPr>
          <w:b/>
          <w:noProof/>
        </w:rPr>
        <w:t xml:space="preserve"> v </w:t>
      </w:r>
      <w:r w:rsidRPr="00E22D77">
        <w:rPr>
          <w:b/>
          <w:noProof/>
        </w:rPr>
        <w:t>oblasti kontrol vývozu</w:t>
      </w:r>
      <w:bookmarkEnd w:id="23"/>
      <w:bookmarkEnd w:id="24"/>
    </w:p>
    <w:p w14:paraId="64C75C36" w14:textId="298BEFC6" w:rsidR="000A37D7" w:rsidRPr="00E22D77" w:rsidRDefault="000A37D7" w:rsidP="000A37D7">
      <w:pPr>
        <w:spacing w:before="120" w:after="120" w:line="240" w:lineRule="auto"/>
        <w:rPr>
          <w:rFonts w:eastAsia="Times New Roman" w:cs="Times New Roman"/>
          <w:noProof/>
          <w:szCs w:val="24"/>
        </w:rPr>
      </w:pPr>
      <w:r w:rsidRPr="00E22D77">
        <w:rPr>
          <w:noProof/>
        </w:rPr>
        <w:t>Rozhodovanie</w:t>
      </w:r>
      <w:r w:rsidR="00E22D77">
        <w:rPr>
          <w:noProof/>
        </w:rPr>
        <w:t xml:space="preserve"> v </w:t>
      </w:r>
      <w:r w:rsidRPr="00E22D77">
        <w:rPr>
          <w:noProof/>
        </w:rPr>
        <w:t>oblasti kontrol vývozu</w:t>
      </w:r>
      <w:r w:rsidR="00E22D77">
        <w:rPr>
          <w:noProof/>
        </w:rPr>
        <w:t xml:space="preserve"> v </w:t>
      </w:r>
      <w:r w:rsidRPr="00E22D77">
        <w:rPr>
          <w:noProof/>
        </w:rPr>
        <w:t>súčasnosti vedú členské štáty</w:t>
      </w:r>
      <w:r w:rsidR="00E22D77">
        <w:rPr>
          <w:noProof/>
        </w:rPr>
        <w:t xml:space="preserve"> s </w:t>
      </w:r>
      <w:r w:rsidRPr="00E22D77">
        <w:rPr>
          <w:noProof/>
        </w:rPr>
        <w:t>ohľadom na dôsledky na ich vlastnú národnú bezpečnosť. Napríklad zavedenie nových kontrol vývozu určujú najmä členské štáty</w:t>
      </w:r>
      <w:r w:rsidR="00E22D77">
        <w:rPr>
          <w:noProof/>
        </w:rPr>
        <w:t xml:space="preserve"> v </w:t>
      </w:r>
      <w:r w:rsidRPr="00E22D77">
        <w:rPr>
          <w:noProof/>
        </w:rPr>
        <w:t>rámci multilaterálnych režimov kontroly vývozu, keďže neexistuje spoločný hlas EÚ. Dokonca aj obmedzené alternatívne trasy zavedené nariadením</w:t>
      </w:r>
      <w:r w:rsidR="00E22D77">
        <w:rPr>
          <w:noProof/>
        </w:rPr>
        <w:t xml:space="preserve"> o </w:t>
      </w:r>
      <w:r w:rsidRPr="00E22D77">
        <w:rPr>
          <w:noProof/>
        </w:rPr>
        <w:t>položkách</w:t>
      </w:r>
      <w:r w:rsidR="00E22D77">
        <w:rPr>
          <w:noProof/>
        </w:rPr>
        <w:t xml:space="preserve"> s </w:t>
      </w:r>
      <w:r w:rsidRPr="00E22D77">
        <w:rPr>
          <w:noProof/>
        </w:rPr>
        <w:t>dvojakým použitím pre nové kontroly</w:t>
      </w:r>
      <w:r w:rsidRPr="00E22D77">
        <w:rPr>
          <w:rFonts w:eastAsia="Times New Roman" w:cs="Times New Roman"/>
          <w:noProof/>
          <w:szCs w:val="24"/>
          <w:vertAlign w:val="superscript"/>
          <w:lang w:eastAsia="en-IE"/>
        </w:rPr>
        <w:footnoteReference w:id="30"/>
      </w:r>
      <w:r w:rsidRPr="00E22D77">
        <w:rPr>
          <w:noProof/>
        </w:rPr>
        <w:t xml:space="preserve"> závisia od iniciatívy členských štátov</w:t>
      </w:r>
      <w:r w:rsidR="00E22D77">
        <w:rPr>
          <w:noProof/>
        </w:rPr>
        <w:t xml:space="preserve"> a </w:t>
      </w:r>
      <w:r w:rsidRPr="00E22D77">
        <w:rPr>
          <w:noProof/>
        </w:rPr>
        <w:t>ich dobrovoľnej koordinácie na základe ich vnútroštátnych posúdení rizík.</w:t>
      </w:r>
    </w:p>
    <w:p w14:paraId="4F296DA4" w14:textId="06E623AD" w:rsidR="000A37D7" w:rsidRPr="00E22D77" w:rsidRDefault="000A37D7" w:rsidP="000A37D7">
      <w:pPr>
        <w:spacing w:before="120" w:after="120" w:line="240" w:lineRule="auto"/>
        <w:rPr>
          <w:rFonts w:eastAsia="Times New Roman" w:cs="Times New Roman"/>
          <w:noProof/>
          <w:spacing w:val="-4"/>
          <w:szCs w:val="24"/>
        </w:rPr>
      </w:pPr>
      <w:r w:rsidRPr="00E22D77">
        <w:rPr>
          <w:noProof/>
          <w:spacing w:val="-4"/>
        </w:rPr>
        <w:t>Komisia je odhodlaná posilniť svoju podporu činnosti multilaterálnych režimov ako najlepšej cesty na identifikáciu</w:t>
      </w:r>
      <w:r w:rsidR="00E22D77" w:rsidRPr="00E22D77">
        <w:rPr>
          <w:noProof/>
          <w:spacing w:val="-4"/>
        </w:rPr>
        <w:t xml:space="preserve"> a </w:t>
      </w:r>
      <w:r w:rsidRPr="00E22D77">
        <w:rPr>
          <w:noProof/>
          <w:spacing w:val="-4"/>
        </w:rPr>
        <w:t>akceptovanie kontrol vývozu, ktoré sú základom rámca EÚ na kontrolu vývozu.</w:t>
      </w:r>
    </w:p>
    <w:p w14:paraId="0360073F" w14:textId="3468BB84" w:rsidR="000A37D7" w:rsidRPr="00E22D77" w:rsidRDefault="000A37D7" w:rsidP="000A37D7">
      <w:pPr>
        <w:spacing w:before="120" w:after="120" w:line="240" w:lineRule="auto"/>
        <w:rPr>
          <w:rFonts w:eastAsia="Times New Roman" w:cs="Times New Roman"/>
          <w:noProof/>
          <w:szCs w:val="24"/>
        </w:rPr>
      </w:pPr>
      <w:r w:rsidRPr="00E22D77">
        <w:rPr>
          <w:noProof/>
        </w:rPr>
        <w:t>Nedávny vývoj opísaný vyššie však nastoľuje otázku, či by sa malo zvážiť dodatočné právne ustanovenie, ktoré by umožnilo zavedenie nových spoločných kontrol EÚ rýchlejším</w:t>
      </w:r>
      <w:r w:rsidR="00E22D77">
        <w:rPr>
          <w:noProof/>
        </w:rPr>
        <w:t xml:space="preserve"> a </w:t>
      </w:r>
      <w:r w:rsidRPr="00E22D77">
        <w:rPr>
          <w:noProof/>
        </w:rPr>
        <w:t>efektívnejším spôsobom mimo možnosti riadneho legislatívneho postupu. Tým by sa riešili ciele bezpečnostnej</w:t>
      </w:r>
      <w:r w:rsidR="00E22D77">
        <w:rPr>
          <w:noProof/>
        </w:rPr>
        <w:t xml:space="preserve"> a </w:t>
      </w:r>
      <w:r w:rsidRPr="00E22D77">
        <w:rPr>
          <w:noProof/>
        </w:rPr>
        <w:t>obchodnej politiky Únie. To by mohlo napraviť aj súčasné riziká fragmentácie</w:t>
      </w:r>
      <w:r w:rsidR="00E22D77">
        <w:rPr>
          <w:noProof/>
        </w:rPr>
        <w:t xml:space="preserve"> a v </w:t>
      </w:r>
      <w:r w:rsidRPr="00E22D77">
        <w:rPr>
          <w:noProof/>
        </w:rPr>
        <w:t>prípade potreby umožniť rýchlejšiu reakciu</w:t>
      </w:r>
      <w:r w:rsidR="00E22D77">
        <w:rPr>
          <w:noProof/>
        </w:rPr>
        <w:t xml:space="preserve"> v </w:t>
      </w:r>
      <w:r w:rsidRPr="00E22D77">
        <w:rPr>
          <w:noProof/>
        </w:rPr>
        <w:t>celej EÚ na bezpečnostné riziká, pokiaľ ide</w:t>
      </w:r>
      <w:r w:rsidR="00E22D77">
        <w:rPr>
          <w:noProof/>
        </w:rPr>
        <w:t xml:space="preserve"> o </w:t>
      </w:r>
      <w:r w:rsidRPr="00E22D77">
        <w:rPr>
          <w:noProof/>
        </w:rPr>
        <w:t xml:space="preserve">vznikajúce technológie, ktoré ešte neboli kontrolované na multilaterálnej úrovni. Okrem toho by sa zvýšila schopnosť EÚ konať spoločne na základe geopolitických </w:t>
      </w:r>
      <w:r w:rsidRPr="00E22D77">
        <w:rPr>
          <w:noProof/>
        </w:rPr>
        <w:lastRenderedPageBreak/>
        <w:t>úvah</w:t>
      </w:r>
      <w:r w:rsidR="00E22D77">
        <w:rPr>
          <w:noProof/>
        </w:rPr>
        <w:t xml:space="preserve"> v </w:t>
      </w:r>
      <w:r w:rsidRPr="00E22D77">
        <w:rPr>
          <w:noProof/>
        </w:rPr>
        <w:t>reakcii na výzvy tretích krajín na zavedenie nových kontrol vývozu vznikajúcich technológií. Umožnilo by to aj spoločné posúdenie rizika kontrol na úrovni EÚ, ktoré majú vplyv na obchodné vzťahy EÚ</w:t>
      </w:r>
      <w:r w:rsidR="00E22D77">
        <w:rPr>
          <w:noProof/>
        </w:rPr>
        <w:t xml:space="preserve"> a </w:t>
      </w:r>
      <w:r w:rsidRPr="00E22D77">
        <w:rPr>
          <w:noProof/>
        </w:rPr>
        <w:t>na dodávateľské reťazce</w:t>
      </w:r>
      <w:r w:rsidR="00E22D77">
        <w:rPr>
          <w:noProof/>
        </w:rPr>
        <w:t xml:space="preserve"> v </w:t>
      </w:r>
      <w:r w:rsidRPr="00E22D77">
        <w:rPr>
          <w:noProof/>
        </w:rPr>
        <w:t>celej EÚ.</w:t>
      </w:r>
    </w:p>
    <w:p w14:paraId="1602A720" w14:textId="77777777" w:rsidR="000A37D7" w:rsidRPr="00E22D77" w:rsidRDefault="000A37D7"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25" w:name="_Toc156899406"/>
      <w:bookmarkStart w:id="26" w:name="_Toc158197728"/>
      <w:r w:rsidRPr="00E22D77">
        <w:rPr>
          <w:b/>
          <w:noProof/>
        </w:rPr>
        <w:t>Chýbajúci spoločný hlas EÚ na medzinárodnej úrovni</w:t>
      </w:r>
      <w:bookmarkEnd w:id="25"/>
      <w:bookmarkEnd w:id="26"/>
    </w:p>
    <w:p w14:paraId="7ED222AE" w14:textId="418E1410" w:rsidR="000A37D7" w:rsidRPr="00E22D77" w:rsidRDefault="000A37D7" w:rsidP="000A37D7">
      <w:pPr>
        <w:spacing w:before="120" w:after="120" w:line="240" w:lineRule="auto"/>
        <w:rPr>
          <w:rFonts w:eastAsia="Times New Roman" w:cs="Times New Roman"/>
          <w:noProof/>
          <w:szCs w:val="24"/>
        </w:rPr>
      </w:pPr>
      <w:r w:rsidRPr="00E22D77">
        <w:rPr>
          <w:noProof/>
        </w:rPr>
        <w:t>Hoci kontroly vývozu dohodnuté</w:t>
      </w:r>
      <w:r w:rsidR="00E22D77">
        <w:rPr>
          <w:noProof/>
        </w:rPr>
        <w:t xml:space="preserve"> v </w:t>
      </w:r>
      <w:r w:rsidRPr="00E22D77">
        <w:rPr>
          <w:noProof/>
        </w:rPr>
        <w:t>rámci multilaterálnych režimov tvoria základ kontrol vývozu EÚ</w:t>
      </w:r>
      <w:r w:rsidR="00E22D77">
        <w:rPr>
          <w:noProof/>
        </w:rPr>
        <w:t xml:space="preserve"> a </w:t>
      </w:r>
      <w:r w:rsidRPr="00E22D77">
        <w:rPr>
          <w:noProof/>
        </w:rPr>
        <w:t>pravidelne sa začleňujú do zoznamov položiek</w:t>
      </w:r>
      <w:r w:rsidR="00E22D77">
        <w:rPr>
          <w:noProof/>
        </w:rPr>
        <w:t xml:space="preserve"> s </w:t>
      </w:r>
      <w:r w:rsidRPr="00E22D77">
        <w:rPr>
          <w:noProof/>
        </w:rPr>
        <w:t>dvojakým použitím podľa nariadenia</w:t>
      </w:r>
      <w:r w:rsidR="00E22D77">
        <w:rPr>
          <w:noProof/>
        </w:rPr>
        <w:t xml:space="preserve"> o </w:t>
      </w:r>
      <w:r w:rsidRPr="00E22D77">
        <w:rPr>
          <w:noProof/>
        </w:rPr>
        <w:t>položkách</w:t>
      </w:r>
      <w:r w:rsidR="00E22D77">
        <w:rPr>
          <w:noProof/>
        </w:rPr>
        <w:t xml:space="preserve"> s </w:t>
      </w:r>
      <w:r w:rsidRPr="00E22D77">
        <w:rPr>
          <w:noProof/>
        </w:rPr>
        <w:t>dvojakým použitím, členstvo členských štátov</w:t>
      </w:r>
      <w:r w:rsidR="00E22D77">
        <w:rPr>
          <w:noProof/>
        </w:rPr>
        <w:t xml:space="preserve"> v </w:t>
      </w:r>
      <w:r w:rsidRPr="00E22D77">
        <w:rPr>
          <w:noProof/>
        </w:rPr>
        <w:t>týchto režimoch je nerovnomerné.</w:t>
      </w:r>
      <w:r w:rsidRPr="00E22D77">
        <w:rPr>
          <w:rFonts w:eastAsia="Times New Roman" w:cs="Times New Roman"/>
          <w:noProof/>
          <w:szCs w:val="24"/>
          <w:vertAlign w:val="superscript"/>
        </w:rPr>
        <w:footnoteReference w:id="31"/>
      </w:r>
      <w:r w:rsidR="00E22D77">
        <w:rPr>
          <w:noProof/>
        </w:rPr>
        <w:t xml:space="preserve"> V </w:t>
      </w:r>
      <w:r w:rsidRPr="00E22D77">
        <w:rPr>
          <w:noProof/>
        </w:rPr>
        <w:t>dôsledku toho sa členské štáty, ktoré nie sú členmi niektorých multilaterálnych režimov, nemôžu zúčastňovať na rozhodovacích procesoch týkajúcich sa nových kontrol, ktoré sú následne začlenené do nariadenia</w:t>
      </w:r>
      <w:r w:rsidR="00E22D77">
        <w:rPr>
          <w:noProof/>
        </w:rPr>
        <w:t xml:space="preserve"> o </w:t>
      </w:r>
      <w:r w:rsidRPr="00E22D77">
        <w:rPr>
          <w:noProof/>
        </w:rPr>
        <w:t>položkách</w:t>
      </w:r>
      <w:r w:rsidR="00E22D77">
        <w:rPr>
          <w:noProof/>
        </w:rPr>
        <w:t xml:space="preserve"> s </w:t>
      </w:r>
      <w:r w:rsidRPr="00E22D77">
        <w:rPr>
          <w:noProof/>
        </w:rPr>
        <w:t>dvojakým použitím. Takisto im chýba fórum na vyjadrenie svojich obáv týkajúcich sa otázok nešírenia</w:t>
      </w:r>
      <w:r w:rsidR="00E22D77">
        <w:rPr>
          <w:noProof/>
        </w:rPr>
        <w:t xml:space="preserve"> a </w:t>
      </w:r>
      <w:r w:rsidRPr="00E22D77">
        <w:rPr>
          <w:noProof/>
        </w:rPr>
        <w:t>kontroly vývozu, na ktoré sa vzťahujú multilaterálne režimy, ktorých nie sú členmi.</w:t>
      </w:r>
    </w:p>
    <w:p w14:paraId="5E8965EB" w14:textId="2E86672A" w:rsidR="000A37D7" w:rsidRPr="00E22D77" w:rsidRDefault="000A37D7" w:rsidP="000A37D7">
      <w:pPr>
        <w:spacing w:before="120" w:after="120" w:line="240" w:lineRule="auto"/>
        <w:rPr>
          <w:rFonts w:eastAsia="Times New Roman" w:cs="Times New Roman"/>
          <w:noProof/>
          <w:szCs w:val="24"/>
        </w:rPr>
      </w:pPr>
      <w:r w:rsidRPr="00E22D77">
        <w:rPr>
          <w:noProof/>
        </w:rPr>
        <w:t>Okrem toho, na rozdiel od mnohých iných oblastí vonkajších politík EÚ a, ako už bolo uvedené, neexistuje spoločný hlas EÚ</w:t>
      </w:r>
      <w:r w:rsidR="00E22D77">
        <w:rPr>
          <w:noProof/>
        </w:rPr>
        <w:t xml:space="preserve"> v </w:t>
      </w:r>
      <w:r w:rsidRPr="00E22D77">
        <w:rPr>
          <w:noProof/>
        </w:rPr>
        <w:t>multilaterálnych režimoch</w:t>
      </w:r>
      <w:r w:rsidR="00E22D77">
        <w:rPr>
          <w:noProof/>
        </w:rPr>
        <w:t xml:space="preserve"> a </w:t>
      </w:r>
      <w:r w:rsidRPr="00E22D77">
        <w:rPr>
          <w:noProof/>
        </w:rPr>
        <w:t>na iných medzinárodných fórach, na ktorých alebo</w:t>
      </w:r>
      <w:r w:rsidR="00E22D77">
        <w:rPr>
          <w:noProof/>
        </w:rPr>
        <w:t xml:space="preserve"> v </w:t>
      </w:r>
      <w:r w:rsidRPr="00E22D77">
        <w:rPr>
          <w:noProof/>
        </w:rPr>
        <w:t>rámci ktorých sa diskutuje</w:t>
      </w:r>
      <w:r w:rsidR="00E22D77">
        <w:rPr>
          <w:noProof/>
        </w:rPr>
        <w:t xml:space="preserve"> o </w:t>
      </w:r>
      <w:r w:rsidRPr="00E22D77">
        <w:rPr>
          <w:noProof/>
        </w:rPr>
        <w:t>otázkach kontroly vývozu. Členské štáty</w:t>
      </w:r>
      <w:r w:rsidR="00E22D77">
        <w:rPr>
          <w:noProof/>
        </w:rPr>
        <w:t xml:space="preserve"> v </w:t>
      </w:r>
      <w:r w:rsidRPr="00E22D77">
        <w:rPr>
          <w:noProof/>
        </w:rPr>
        <w:t>súčasnosti nekoordinujú svoje pozície</w:t>
      </w:r>
      <w:r w:rsidR="00E22D77">
        <w:rPr>
          <w:noProof/>
        </w:rPr>
        <w:t xml:space="preserve"> k </w:t>
      </w:r>
      <w:r w:rsidRPr="00E22D77">
        <w:rPr>
          <w:noProof/>
        </w:rPr>
        <w:t>zavedeniu nových kontrol pred zasadnutiami multilaterálnych režimov</w:t>
      </w:r>
      <w:r w:rsidR="00E22D77">
        <w:rPr>
          <w:noProof/>
        </w:rPr>
        <w:t xml:space="preserve"> s </w:t>
      </w:r>
      <w:r w:rsidRPr="00E22D77">
        <w:rPr>
          <w:noProof/>
        </w:rPr>
        <w:t>cieľom vymedziť spoločnú pozíciu EÚ. Okrem toho, na rozdiel od bežného pravidla pre vonkajšiu činnosť Únie, ktoré sa týka obchodu</w:t>
      </w:r>
      <w:r w:rsidR="00E22D77">
        <w:rPr>
          <w:noProof/>
        </w:rPr>
        <w:t xml:space="preserve"> s </w:t>
      </w:r>
      <w:r w:rsidRPr="00E22D77">
        <w:rPr>
          <w:noProof/>
        </w:rPr>
        <w:t>položkami, ktorých vývoz podlieha kontrole, sú to členské štáty, ktoré sa zúčastňujú na týchto režimoch</w:t>
      </w:r>
      <w:r w:rsidR="00E22D77">
        <w:rPr>
          <w:noProof/>
        </w:rPr>
        <w:t xml:space="preserve"> a </w:t>
      </w:r>
      <w:r w:rsidRPr="00E22D77">
        <w:rPr>
          <w:noProof/>
        </w:rPr>
        <w:t>zapájajú sa do nich,</w:t>
      </w:r>
      <w:r w:rsidR="00E22D77">
        <w:rPr>
          <w:noProof/>
        </w:rPr>
        <w:t xml:space="preserve"> a </w:t>
      </w:r>
      <w:r w:rsidRPr="00E22D77">
        <w:rPr>
          <w:noProof/>
        </w:rPr>
        <w:t>nie Únia,</w:t>
      </w:r>
      <w:r w:rsidR="00E22D77">
        <w:rPr>
          <w:noProof/>
        </w:rPr>
        <w:t xml:space="preserve"> a </w:t>
      </w:r>
      <w:r w:rsidRPr="00E22D77">
        <w:rPr>
          <w:noProof/>
        </w:rPr>
        <w:t>to bez ohľadu na skutočnosť, že výsledok rokovaní</w:t>
      </w:r>
      <w:r w:rsidR="00E22D77">
        <w:rPr>
          <w:noProof/>
        </w:rPr>
        <w:t xml:space="preserve"> o </w:t>
      </w:r>
      <w:r w:rsidRPr="00E22D77">
        <w:rPr>
          <w:noProof/>
        </w:rPr>
        <w:t>týchto režimoch sa následne začlení do právneho rámca EÚ</w:t>
      </w:r>
      <w:r w:rsidR="00E22D77">
        <w:rPr>
          <w:noProof/>
        </w:rPr>
        <w:t xml:space="preserve"> v </w:t>
      </w:r>
      <w:r w:rsidRPr="00E22D77">
        <w:rPr>
          <w:noProof/>
        </w:rPr>
        <w:t>oblasti položiek</w:t>
      </w:r>
      <w:r w:rsidR="00E22D77">
        <w:rPr>
          <w:noProof/>
        </w:rPr>
        <w:t xml:space="preserve"> s </w:t>
      </w:r>
      <w:r w:rsidRPr="00E22D77">
        <w:rPr>
          <w:noProof/>
        </w:rPr>
        <w:t>dvojakým použitím.</w:t>
      </w:r>
    </w:p>
    <w:p w14:paraId="2C5C9447" w14:textId="3B10DF67" w:rsidR="00E22D77" w:rsidRPr="00E22D77" w:rsidRDefault="00E0178C" w:rsidP="000A37D7">
      <w:pPr>
        <w:spacing w:before="120" w:after="120" w:line="240" w:lineRule="auto"/>
        <w:rPr>
          <w:noProof/>
          <w:spacing w:val="-6"/>
        </w:rPr>
      </w:pPr>
      <w:r w:rsidRPr="00E22D77">
        <w:rPr>
          <w:noProof/>
          <w:spacing w:val="-6"/>
        </w:rPr>
        <w:t>Chýbajúci spoločný hlas EÚ vystavuje jednotlivé členské štáty silným geopolitickým tlakom</w:t>
      </w:r>
      <w:r w:rsidR="00E22D77" w:rsidRPr="00E22D77">
        <w:rPr>
          <w:noProof/>
          <w:spacing w:val="-6"/>
        </w:rPr>
        <w:t xml:space="preserve"> a </w:t>
      </w:r>
      <w:r w:rsidRPr="00E22D77">
        <w:rPr>
          <w:noProof/>
          <w:spacing w:val="-6"/>
        </w:rPr>
        <w:t>slabšej rokovacej pozícii.</w:t>
      </w:r>
      <w:r w:rsidR="00E22D77" w:rsidRPr="00E22D77">
        <w:rPr>
          <w:noProof/>
          <w:spacing w:val="-6"/>
        </w:rPr>
        <w:t xml:space="preserve"> V </w:t>
      </w:r>
      <w:r w:rsidRPr="00E22D77">
        <w:rPr>
          <w:noProof/>
          <w:spacing w:val="-6"/>
        </w:rPr>
        <w:t>kontexte geopolitických pretekov</w:t>
      </w:r>
      <w:r w:rsidR="00E22D77" w:rsidRPr="00E22D77">
        <w:rPr>
          <w:noProof/>
          <w:spacing w:val="-6"/>
        </w:rPr>
        <w:t xml:space="preserve"> o </w:t>
      </w:r>
      <w:r w:rsidRPr="00E22D77">
        <w:rPr>
          <w:noProof/>
          <w:spacing w:val="-6"/>
        </w:rPr>
        <w:t>vedúce postavenie</w:t>
      </w:r>
      <w:r w:rsidR="00E22D77" w:rsidRPr="00E22D77">
        <w:rPr>
          <w:noProof/>
          <w:spacing w:val="-6"/>
        </w:rPr>
        <w:t xml:space="preserve"> v </w:t>
      </w:r>
      <w:r w:rsidRPr="00E22D77">
        <w:rPr>
          <w:noProof/>
          <w:spacing w:val="-6"/>
        </w:rPr>
        <w:t>oblasti technológií</w:t>
      </w:r>
      <w:r w:rsidR="00E22D77" w:rsidRPr="00E22D77">
        <w:rPr>
          <w:noProof/>
          <w:spacing w:val="-6"/>
        </w:rPr>
        <w:t xml:space="preserve"> a </w:t>
      </w:r>
      <w:r w:rsidRPr="00E22D77">
        <w:rPr>
          <w:noProof/>
          <w:spacing w:val="-6"/>
        </w:rPr>
        <w:t>kontroly nad strategickými technológiami sú členské štáty so špecifickými technologickými kapacitami pod rastúcim tlakom tretích krajín. Spojenci alebo podobne zmýšľajúci partneri sa môžu usilovať</w:t>
      </w:r>
      <w:r w:rsidR="00E22D77" w:rsidRPr="00E22D77">
        <w:rPr>
          <w:noProof/>
          <w:spacing w:val="-6"/>
        </w:rPr>
        <w:t xml:space="preserve"> o </w:t>
      </w:r>
      <w:r w:rsidRPr="00E22D77">
        <w:rPr>
          <w:noProof/>
          <w:spacing w:val="-6"/>
        </w:rPr>
        <w:t>zosúladenie</w:t>
      </w:r>
      <w:r w:rsidR="00E22D77" w:rsidRPr="00E22D77">
        <w:rPr>
          <w:noProof/>
          <w:spacing w:val="-6"/>
        </w:rPr>
        <w:t xml:space="preserve"> s </w:t>
      </w:r>
      <w:r w:rsidRPr="00E22D77">
        <w:rPr>
          <w:noProof/>
          <w:spacing w:val="-6"/>
        </w:rPr>
        <w:t>kontrolami navrhnutými na základe ich vlastných bezpečnostných analýz</w:t>
      </w:r>
      <w:r w:rsidR="00E22D77" w:rsidRPr="00E22D77">
        <w:rPr>
          <w:noProof/>
          <w:spacing w:val="-6"/>
        </w:rPr>
        <w:t xml:space="preserve"> a </w:t>
      </w:r>
      <w:r w:rsidRPr="00E22D77">
        <w:rPr>
          <w:noProof/>
          <w:spacing w:val="-6"/>
        </w:rPr>
        <w:t>záujmov, zatiaľ čo tretie krajiny, ktoré by pravdepodobne mohli podliehať kontrolám, môžu ohroziť jednotlivé členské štáty odvetnými opatreniami. Lepšia koordinácia</w:t>
      </w:r>
      <w:r w:rsidR="00E22D77" w:rsidRPr="00E22D77">
        <w:rPr>
          <w:noProof/>
          <w:spacing w:val="-6"/>
        </w:rPr>
        <w:t xml:space="preserve"> a </w:t>
      </w:r>
      <w:r w:rsidRPr="00E22D77">
        <w:rPr>
          <w:noProof/>
          <w:spacing w:val="-6"/>
        </w:rPr>
        <w:t>spoločné opatrenia na úrovni EÚ by pôsobili ako protiváha voči takýmto tlakom, poskytli by členským štátom silnejšiu rokovaciu pozíciu vyplývajúcu</w:t>
      </w:r>
      <w:r w:rsidR="00E22D77" w:rsidRPr="00E22D77">
        <w:rPr>
          <w:noProof/>
          <w:spacing w:val="-6"/>
        </w:rPr>
        <w:t xml:space="preserve"> z </w:t>
      </w:r>
      <w:r w:rsidRPr="00E22D77">
        <w:rPr>
          <w:noProof/>
          <w:spacing w:val="-6"/>
        </w:rPr>
        <w:t>rozsahu jednotného trhu</w:t>
      </w:r>
      <w:r w:rsidR="00E22D77" w:rsidRPr="00E22D77">
        <w:rPr>
          <w:noProof/>
          <w:spacing w:val="-6"/>
        </w:rPr>
        <w:t xml:space="preserve"> a </w:t>
      </w:r>
      <w:r w:rsidRPr="00E22D77">
        <w:rPr>
          <w:noProof/>
          <w:spacing w:val="-6"/>
        </w:rPr>
        <w:t>zabezpečili by, aby všetky kontroly vychádzali</w:t>
      </w:r>
      <w:r w:rsidR="00E22D77" w:rsidRPr="00E22D77">
        <w:rPr>
          <w:noProof/>
          <w:spacing w:val="-6"/>
        </w:rPr>
        <w:t xml:space="preserve"> z </w:t>
      </w:r>
      <w:r w:rsidRPr="00E22D77">
        <w:rPr>
          <w:noProof/>
          <w:spacing w:val="-6"/>
        </w:rPr>
        <w:t>európskeho posúdenia rizík</w:t>
      </w:r>
      <w:r w:rsidR="00E22D77" w:rsidRPr="00E22D77">
        <w:rPr>
          <w:noProof/>
          <w:spacing w:val="-6"/>
        </w:rPr>
        <w:t xml:space="preserve"> a </w:t>
      </w:r>
      <w:r w:rsidRPr="00E22D77">
        <w:rPr>
          <w:noProof/>
          <w:spacing w:val="-6"/>
        </w:rPr>
        <w:t>vlastných záujmov</w:t>
      </w:r>
      <w:r w:rsidR="00E22D77" w:rsidRPr="00E22D77">
        <w:rPr>
          <w:noProof/>
          <w:spacing w:val="-6"/>
        </w:rPr>
        <w:t>.</w:t>
      </w:r>
    </w:p>
    <w:p w14:paraId="572C4449" w14:textId="0E99E115" w:rsidR="000A37D7" w:rsidRPr="00E22D77" w:rsidRDefault="00A219F7" w:rsidP="000A37D7">
      <w:pPr>
        <w:spacing w:before="120" w:after="120" w:line="240" w:lineRule="auto"/>
        <w:rPr>
          <w:rFonts w:eastAsia="Times New Roman" w:cs="Times New Roman"/>
          <w:noProof/>
          <w:szCs w:val="24"/>
        </w:rPr>
      </w:pPr>
      <w:r w:rsidRPr="00E22D77">
        <w:rPr>
          <w:noProof/>
        </w:rPr>
        <w:t>Zároveň obmedzuje schopnosť EÚ pôsobiť ako geopolitický aktér</w:t>
      </w:r>
      <w:r w:rsidR="00E22D77">
        <w:rPr>
          <w:noProof/>
        </w:rPr>
        <w:t xml:space="preserve"> a </w:t>
      </w:r>
      <w:r w:rsidRPr="00E22D77">
        <w:rPr>
          <w:noProof/>
        </w:rPr>
        <w:t>angažovať sa na rovnakom základe</w:t>
      </w:r>
      <w:r w:rsidR="00E22D77">
        <w:rPr>
          <w:noProof/>
        </w:rPr>
        <w:t xml:space="preserve"> s </w:t>
      </w:r>
      <w:r w:rsidRPr="00E22D77">
        <w:rPr>
          <w:noProof/>
        </w:rPr>
        <w:t>ostatnými štátmi, ktoré takisto pomáhajú pri stanovovaní programu pre citlivé technologické oblasti, ako sú USA, Čína</w:t>
      </w:r>
      <w:r w:rsidR="00E22D77">
        <w:rPr>
          <w:noProof/>
        </w:rPr>
        <w:t xml:space="preserve"> a </w:t>
      </w:r>
      <w:r w:rsidRPr="00E22D77">
        <w:rPr>
          <w:noProof/>
        </w:rPr>
        <w:t>Japonsko. Je to obzvlášť znepokojujúce</w:t>
      </w:r>
      <w:r w:rsidR="00E22D77">
        <w:rPr>
          <w:noProof/>
        </w:rPr>
        <w:t xml:space="preserve"> v </w:t>
      </w:r>
      <w:r w:rsidRPr="00E22D77">
        <w:rPr>
          <w:noProof/>
        </w:rPr>
        <w:t>čase, keď sa parametre kontroly celého radu kritických vznikajúcich technológií vymedzujú</w:t>
      </w:r>
      <w:r w:rsidR="00E22D77">
        <w:rPr>
          <w:noProof/>
        </w:rPr>
        <w:t xml:space="preserve"> v </w:t>
      </w:r>
      <w:r w:rsidRPr="00E22D77">
        <w:rPr>
          <w:noProof/>
        </w:rPr>
        <w:t>multilaterálnom</w:t>
      </w:r>
      <w:r w:rsidR="00E22D77">
        <w:rPr>
          <w:noProof/>
        </w:rPr>
        <w:t xml:space="preserve"> a </w:t>
      </w:r>
      <w:r w:rsidRPr="00E22D77">
        <w:rPr>
          <w:noProof/>
        </w:rPr>
        <w:t>viacstrannom prostredí alebo jednostranným konaním dotknutých štátov.</w:t>
      </w:r>
    </w:p>
    <w:p w14:paraId="074CCB41" w14:textId="43A3EEC1" w:rsidR="00E22D77" w:rsidRDefault="00C63856" w:rsidP="000A37D7">
      <w:pPr>
        <w:spacing w:before="120" w:after="120" w:line="240" w:lineRule="auto"/>
        <w:rPr>
          <w:noProof/>
        </w:rPr>
      </w:pPr>
      <w:r w:rsidRPr="00E22D77">
        <w:rPr>
          <w:noProof/>
        </w:rPr>
        <w:t>Vytvorenie spoločného hlasu EÚ by podporilo súdržnosť pozícií EÚ</w:t>
      </w:r>
      <w:r w:rsidR="00E22D77">
        <w:rPr>
          <w:noProof/>
        </w:rPr>
        <w:t xml:space="preserve"> a </w:t>
      </w:r>
      <w:r w:rsidRPr="00E22D77">
        <w:rPr>
          <w:noProof/>
        </w:rPr>
        <w:t>členských štátov</w:t>
      </w:r>
      <w:r w:rsidR="00E22D77">
        <w:rPr>
          <w:noProof/>
        </w:rPr>
        <w:t xml:space="preserve"> a </w:t>
      </w:r>
      <w:r w:rsidRPr="00E22D77">
        <w:rPr>
          <w:noProof/>
        </w:rPr>
        <w:t>dopĺňalo by pokračujúcu účasť členských štátov EÚ na multilaterálnych režimoch</w:t>
      </w:r>
      <w:r w:rsidR="00E22D77">
        <w:rPr>
          <w:noProof/>
        </w:rPr>
        <w:t>.</w:t>
      </w:r>
    </w:p>
    <w:p w14:paraId="5844778A" w14:textId="6218E506" w:rsidR="000A37D7" w:rsidRPr="00E22D77" w:rsidRDefault="000A37D7"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27" w:name="_Toc156899407"/>
      <w:bookmarkStart w:id="28" w:name="_Toc158197729"/>
      <w:r w:rsidRPr="00E22D77">
        <w:rPr>
          <w:b/>
          <w:noProof/>
        </w:rPr>
        <w:t>Globálne dodávateľské reťazce</w:t>
      </w:r>
      <w:r w:rsidR="00E22D77">
        <w:rPr>
          <w:b/>
          <w:noProof/>
        </w:rPr>
        <w:t xml:space="preserve"> a </w:t>
      </w:r>
      <w:r w:rsidRPr="00E22D77">
        <w:rPr>
          <w:b/>
          <w:noProof/>
        </w:rPr>
        <w:t>následný vplyv</w:t>
      </w:r>
      <w:bookmarkEnd w:id="27"/>
      <w:bookmarkEnd w:id="28"/>
    </w:p>
    <w:p w14:paraId="55AACCDD" w14:textId="46640239" w:rsidR="000A37D7" w:rsidRPr="00E22D77" w:rsidRDefault="000A37D7" w:rsidP="000A37D7">
      <w:pPr>
        <w:spacing w:before="120" w:after="120" w:line="240" w:lineRule="auto"/>
        <w:rPr>
          <w:rFonts w:eastAsia="Times New Roman" w:cs="Times New Roman"/>
          <w:noProof/>
          <w:szCs w:val="24"/>
        </w:rPr>
      </w:pPr>
      <w:r w:rsidRPr="00E22D77">
        <w:rPr>
          <w:noProof/>
        </w:rPr>
        <w:t>Ako sa uvádza</w:t>
      </w:r>
      <w:r w:rsidR="00E22D77">
        <w:rPr>
          <w:noProof/>
        </w:rPr>
        <w:t xml:space="preserve"> v </w:t>
      </w:r>
      <w:r w:rsidRPr="00E22D77">
        <w:rPr>
          <w:noProof/>
        </w:rPr>
        <w:t xml:space="preserve">Európskej stratégii hospodárskej bezpečnosti, pandémia ochorenia COVID-19 odhalila riziká, ktoré môžu pre fungovanie európskeho hospodárstva predstavovať vysokokoncentrované dodávateľské reťazce. Ruská útočná vojna proti Ukrajine ukázala, že nadmerné spoliehanie sa na jednu krajinu, najmä takú, ktorá má systémovo odlišné hodnoty, </w:t>
      </w:r>
      <w:r w:rsidRPr="00E22D77">
        <w:rPr>
          <w:noProof/>
        </w:rPr>
        <w:lastRenderedPageBreak/>
        <w:t>modely</w:t>
      </w:r>
      <w:r w:rsidR="00E22D77">
        <w:rPr>
          <w:noProof/>
        </w:rPr>
        <w:t xml:space="preserve"> a </w:t>
      </w:r>
      <w:r w:rsidRPr="00E22D77">
        <w:rPr>
          <w:noProof/>
        </w:rPr>
        <w:t>záujmy, obmedzuje strategické možnosti Európy</w:t>
      </w:r>
      <w:r w:rsidR="00E22D77">
        <w:rPr>
          <w:noProof/>
        </w:rPr>
        <w:t xml:space="preserve"> a </w:t>
      </w:r>
      <w:r w:rsidRPr="00E22D77">
        <w:rPr>
          <w:noProof/>
        </w:rPr>
        <w:t>ohrozuje naše hospodárstva</w:t>
      </w:r>
      <w:r w:rsidR="00E22D77">
        <w:rPr>
          <w:noProof/>
        </w:rPr>
        <w:t xml:space="preserve"> i </w:t>
      </w:r>
      <w:r w:rsidRPr="00E22D77">
        <w:rPr>
          <w:noProof/>
        </w:rPr>
        <w:t>občanov.</w:t>
      </w:r>
      <w:r w:rsidR="00E22D77">
        <w:rPr>
          <w:noProof/>
        </w:rPr>
        <w:t xml:space="preserve"> V </w:t>
      </w:r>
      <w:bookmarkStart w:id="29" w:name="_Hlk150874799"/>
      <w:r w:rsidRPr="00E22D77">
        <w:rPr>
          <w:noProof/>
        </w:rPr>
        <w:t>tejto súvislosti EÚ naďalej diverzifikuje svoje dodávateľské reťazce</w:t>
      </w:r>
      <w:r w:rsidR="00E22D77">
        <w:rPr>
          <w:noProof/>
        </w:rPr>
        <w:t xml:space="preserve"> a </w:t>
      </w:r>
      <w:r w:rsidRPr="00E22D77">
        <w:rPr>
          <w:noProof/>
        </w:rPr>
        <w:t>zvyšuje svoju kolektívnu pripravenosť, odolnosť</w:t>
      </w:r>
      <w:r w:rsidR="00E22D77">
        <w:rPr>
          <w:noProof/>
        </w:rPr>
        <w:t xml:space="preserve"> a </w:t>
      </w:r>
      <w:r w:rsidRPr="00E22D77">
        <w:rPr>
          <w:noProof/>
        </w:rPr>
        <w:t>odrádzanie od netrhových politík</w:t>
      </w:r>
      <w:r w:rsidR="00E22D77">
        <w:rPr>
          <w:noProof/>
        </w:rPr>
        <w:t xml:space="preserve"> a </w:t>
      </w:r>
      <w:r w:rsidRPr="00E22D77">
        <w:rPr>
          <w:noProof/>
        </w:rPr>
        <w:t>postupov</w:t>
      </w:r>
      <w:r w:rsidR="00E22D77">
        <w:rPr>
          <w:noProof/>
        </w:rPr>
        <w:t xml:space="preserve"> a </w:t>
      </w:r>
      <w:r w:rsidRPr="00E22D77">
        <w:rPr>
          <w:noProof/>
        </w:rPr>
        <w:t>hospodárskeho nátlaku.</w:t>
      </w:r>
    </w:p>
    <w:bookmarkEnd w:id="29"/>
    <w:p w14:paraId="4359BB0A" w14:textId="453841CA" w:rsidR="00E22D77" w:rsidRDefault="000A37D7" w:rsidP="000A37D7">
      <w:pPr>
        <w:spacing w:before="120" w:after="120" w:line="240" w:lineRule="auto"/>
        <w:rPr>
          <w:noProof/>
        </w:rPr>
      </w:pPr>
      <w:r w:rsidRPr="00E22D77">
        <w:rPr>
          <w:noProof/>
        </w:rPr>
        <w:t>EÚ je odhodlaná spolupracovať</w:t>
      </w:r>
      <w:r w:rsidR="00E22D77">
        <w:rPr>
          <w:noProof/>
        </w:rPr>
        <w:t xml:space="preserve"> s </w:t>
      </w:r>
      <w:r w:rsidRPr="00E22D77">
        <w:rPr>
          <w:noProof/>
        </w:rPr>
        <w:t>tretími krajinami</w:t>
      </w:r>
      <w:r w:rsidR="00E22D77">
        <w:rPr>
          <w:noProof/>
        </w:rPr>
        <w:t xml:space="preserve"> a </w:t>
      </w:r>
      <w:r w:rsidRPr="00E22D77">
        <w:rPr>
          <w:noProof/>
        </w:rPr>
        <w:t>na multilaterálnych fórach</w:t>
      </w:r>
      <w:r w:rsidR="00E22D77">
        <w:rPr>
          <w:noProof/>
        </w:rPr>
        <w:t xml:space="preserve"> s </w:t>
      </w:r>
      <w:r w:rsidRPr="00E22D77">
        <w:rPr>
          <w:noProof/>
        </w:rPr>
        <w:t>cieľom zabezpečiť, aby kontroly vývozu neprimerane nenarúšali strategické dodávateľské reťazce</w:t>
      </w:r>
      <w:r w:rsidR="00E22D77">
        <w:rPr>
          <w:noProof/>
        </w:rPr>
        <w:t xml:space="preserve"> a </w:t>
      </w:r>
      <w:r w:rsidRPr="00E22D77">
        <w:rPr>
          <w:noProof/>
        </w:rPr>
        <w:t>boli</w:t>
      </w:r>
      <w:r w:rsidR="00E22D77">
        <w:rPr>
          <w:noProof/>
        </w:rPr>
        <w:t xml:space="preserve"> v </w:t>
      </w:r>
      <w:r w:rsidRPr="00E22D77">
        <w:rPr>
          <w:noProof/>
        </w:rPr>
        <w:t>súlade</w:t>
      </w:r>
      <w:r w:rsidR="00E22D77">
        <w:rPr>
          <w:noProof/>
        </w:rPr>
        <w:t xml:space="preserve"> s </w:t>
      </w:r>
      <w:r w:rsidRPr="00E22D77">
        <w:rPr>
          <w:noProof/>
        </w:rPr>
        <w:t>uplatniteľnými výnimkami Všeobecnej dohody</w:t>
      </w:r>
      <w:r w:rsidR="00E22D77">
        <w:rPr>
          <w:noProof/>
        </w:rPr>
        <w:t xml:space="preserve"> o </w:t>
      </w:r>
      <w:r w:rsidRPr="00E22D77">
        <w:rPr>
          <w:noProof/>
        </w:rPr>
        <w:t>clách</w:t>
      </w:r>
      <w:r w:rsidR="00E22D77">
        <w:rPr>
          <w:noProof/>
        </w:rPr>
        <w:t xml:space="preserve"> a </w:t>
      </w:r>
      <w:r w:rsidRPr="00E22D77">
        <w:rPr>
          <w:noProof/>
        </w:rPr>
        <w:t>obchode. Okrem toho EÚ</w:t>
      </w:r>
      <w:r w:rsidR="00E22D77">
        <w:rPr>
          <w:noProof/>
        </w:rPr>
        <w:t xml:space="preserve"> v </w:t>
      </w:r>
      <w:r w:rsidRPr="00E22D77">
        <w:rPr>
          <w:noProof/>
        </w:rPr>
        <w:t>rámci zložky partnerstva</w:t>
      </w:r>
      <w:r w:rsidR="00E22D77">
        <w:rPr>
          <w:noProof/>
        </w:rPr>
        <w:t xml:space="preserve"> v </w:t>
      </w:r>
      <w:r w:rsidRPr="00E22D77">
        <w:rPr>
          <w:noProof/>
        </w:rPr>
        <w:t>rámci stratégie hospodárskej bezpečnosti spolupracuje</w:t>
      </w:r>
      <w:r w:rsidR="00E22D77">
        <w:rPr>
          <w:noProof/>
        </w:rPr>
        <w:t xml:space="preserve"> s </w:t>
      </w:r>
      <w:r w:rsidRPr="00E22D77">
        <w:rPr>
          <w:noProof/>
        </w:rPr>
        <w:t>krajinami, ktoré majú takéto obavy,</w:t>
      </w:r>
      <w:r w:rsidR="00E22D77">
        <w:rPr>
          <w:noProof/>
        </w:rPr>
        <w:t xml:space="preserve"> s </w:t>
      </w:r>
      <w:r w:rsidRPr="00E22D77">
        <w:rPr>
          <w:noProof/>
        </w:rPr>
        <w:t>cieľom riešiť riziká narušenia dodávateľského reťazca tretími krajinami</w:t>
      </w:r>
      <w:r w:rsidR="00E22D77">
        <w:rPr>
          <w:noProof/>
        </w:rPr>
        <w:t>.</w:t>
      </w:r>
    </w:p>
    <w:p w14:paraId="5BEF10F2" w14:textId="67E47B44" w:rsidR="000A37D7" w:rsidRPr="00E22D77" w:rsidRDefault="000A37D7"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30" w:name="_Toc156899408"/>
      <w:bookmarkStart w:id="31" w:name="_Toc158197730"/>
      <w:r w:rsidRPr="00E22D77">
        <w:rPr>
          <w:b/>
          <w:noProof/>
        </w:rPr>
        <w:t>Ponaučenia zo sankcií EÚ voči Rusku</w:t>
      </w:r>
      <w:bookmarkEnd w:id="30"/>
      <w:bookmarkEnd w:id="31"/>
    </w:p>
    <w:p w14:paraId="639394AC" w14:textId="2D9A7753" w:rsidR="00AE47C5" w:rsidRPr="00E22D77" w:rsidRDefault="00AE47C5" w:rsidP="00AE47C5">
      <w:pPr>
        <w:spacing w:before="120" w:after="120" w:line="240" w:lineRule="auto"/>
        <w:rPr>
          <w:rFonts w:eastAsia="Times New Roman" w:cs="Times New Roman"/>
          <w:noProof/>
          <w:szCs w:val="24"/>
        </w:rPr>
      </w:pPr>
      <w:r w:rsidRPr="00E22D77">
        <w:rPr>
          <w:noProof/>
        </w:rPr>
        <w:t>Reakcia EÚ na útočnú vojnu Ruska proti Ukrajine viedla</w:t>
      </w:r>
      <w:r w:rsidR="00E22D77">
        <w:rPr>
          <w:noProof/>
        </w:rPr>
        <w:t xml:space="preserve"> k </w:t>
      </w:r>
      <w:r w:rsidRPr="00E22D77">
        <w:rPr>
          <w:noProof/>
        </w:rPr>
        <w:t>bezprecedentnému</w:t>
      </w:r>
      <w:r w:rsidR="00E22D77">
        <w:rPr>
          <w:noProof/>
        </w:rPr>
        <w:t xml:space="preserve"> a </w:t>
      </w:r>
      <w:r w:rsidRPr="00E22D77">
        <w:rPr>
          <w:noProof/>
        </w:rPr>
        <w:t>rýchlemu rozšíreniu sankcií voči Rusku. Obmedzenia vývozu boli najmä niektoré</w:t>
      </w:r>
      <w:r w:rsidR="00E22D77">
        <w:rPr>
          <w:noProof/>
        </w:rPr>
        <w:t xml:space="preserve"> z </w:t>
      </w:r>
      <w:r w:rsidRPr="00E22D77">
        <w:rPr>
          <w:noProof/>
        </w:rPr>
        <w:t>prvých prijatých sankcií</w:t>
      </w:r>
      <w:r w:rsidR="00E22D77">
        <w:rPr>
          <w:noProof/>
        </w:rPr>
        <w:t xml:space="preserve"> a </w:t>
      </w:r>
      <w:r w:rsidRPr="00E22D77">
        <w:rPr>
          <w:noProof/>
        </w:rPr>
        <w:t>zahŕňali rozšírenie zákazu vývozu položiek</w:t>
      </w:r>
      <w:r w:rsidR="00E22D77">
        <w:rPr>
          <w:noProof/>
        </w:rPr>
        <w:t xml:space="preserve"> s </w:t>
      </w:r>
      <w:r w:rsidRPr="00E22D77">
        <w:rPr>
          <w:noProof/>
        </w:rPr>
        <w:t>dvojakým použitím</w:t>
      </w:r>
      <w:r w:rsidR="00E22D77">
        <w:rPr>
          <w:noProof/>
        </w:rPr>
        <w:t xml:space="preserve"> a </w:t>
      </w:r>
      <w:r w:rsidRPr="00E22D77">
        <w:rPr>
          <w:noProof/>
        </w:rPr>
        <w:t>citlivých položiek bezprostredne po ruskej vojenskej agresii voči Ukrajine vo februári 2022</w:t>
      </w:r>
      <w:r w:rsidR="00A960CA" w:rsidRPr="00E22D77">
        <w:rPr>
          <w:rStyle w:val="Odkaznapoznmkupodiarou"/>
          <w:rFonts w:eastAsia="Times New Roman" w:cs="Times New Roman"/>
          <w:noProof/>
          <w:szCs w:val="24"/>
        </w:rPr>
        <w:footnoteReference w:id="32"/>
      </w:r>
      <w:r w:rsidRPr="00E22D77">
        <w:rPr>
          <w:noProof/>
        </w:rPr>
        <w:t>.</w:t>
      </w:r>
    </w:p>
    <w:p w14:paraId="39F4D6C4" w14:textId="46171EA0" w:rsidR="00E22D77" w:rsidRDefault="00AE47C5" w:rsidP="00A01DE3">
      <w:pPr>
        <w:spacing w:before="120" w:after="120" w:line="240" w:lineRule="auto"/>
        <w:rPr>
          <w:noProof/>
        </w:rPr>
      </w:pPr>
      <w:r w:rsidRPr="00E22D77">
        <w:rPr>
          <w:noProof/>
        </w:rPr>
        <w:t>Tieto vývozné obmedzenia sa stali kľúčovým nástrojom na obmedzenie prístupu ruského vojenského priemyselného komplexu</w:t>
      </w:r>
      <w:r w:rsidR="00E22D77">
        <w:rPr>
          <w:noProof/>
        </w:rPr>
        <w:t xml:space="preserve"> k </w:t>
      </w:r>
      <w:r w:rsidRPr="00E22D77">
        <w:rPr>
          <w:noProof/>
        </w:rPr>
        <w:t>citlivým technológiám</w:t>
      </w:r>
      <w:r w:rsidR="00E22D77">
        <w:rPr>
          <w:noProof/>
        </w:rPr>
        <w:t xml:space="preserve"> a </w:t>
      </w:r>
      <w:r w:rsidRPr="00E22D77">
        <w:rPr>
          <w:noProof/>
        </w:rPr>
        <w:t>na zabránenie ich používaniu</w:t>
      </w:r>
      <w:r w:rsidR="00E22D77">
        <w:rPr>
          <w:noProof/>
        </w:rPr>
        <w:t xml:space="preserve"> v </w:t>
      </w:r>
      <w:r w:rsidRPr="00E22D77">
        <w:rPr>
          <w:noProof/>
        </w:rPr>
        <w:t>ruských zbraňových systémoch.</w:t>
      </w:r>
      <w:r w:rsidR="00E22D77">
        <w:rPr>
          <w:noProof/>
        </w:rPr>
        <w:t xml:space="preserve"> S </w:t>
      </w:r>
      <w:r w:rsidRPr="00E22D77">
        <w:rPr>
          <w:noProof/>
        </w:rPr>
        <w:t>cieľom zabezpečiť účinnosť týchto vývozných obmedzení sa EÚ zapojila do ďalekosiahleho úsilia</w:t>
      </w:r>
      <w:r w:rsidR="00E22D77">
        <w:rPr>
          <w:noProof/>
        </w:rPr>
        <w:t xml:space="preserve"> s </w:t>
      </w:r>
      <w:r w:rsidRPr="00E22D77">
        <w:rPr>
          <w:noProof/>
        </w:rPr>
        <w:t>cieľom bojovať proti obchádzaniu</w:t>
      </w:r>
      <w:r w:rsidR="00E22D77">
        <w:rPr>
          <w:noProof/>
        </w:rPr>
        <w:t xml:space="preserve"> a </w:t>
      </w:r>
      <w:r w:rsidRPr="00E22D77">
        <w:rPr>
          <w:noProof/>
        </w:rPr>
        <w:t>spätnému vykazovaniu položiek, na ktoré sa vzťahujú sankcie,</w:t>
      </w:r>
      <w:r w:rsidR="00E22D77">
        <w:rPr>
          <w:noProof/>
        </w:rPr>
        <w:t xml:space="preserve"> a </w:t>
      </w:r>
      <w:r w:rsidRPr="00E22D77">
        <w:rPr>
          <w:noProof/>
        </w:rPr>
        <w:t>zabezpečiť konzistentné presadzovanie</w:t>
      </w:r>
      <w:r w:rsidR="00E22D77">
        <w:rPr>
          <w:noProof/>
        </w:rPr>
        <w:t>.</w:t>
      </w:r>
    </w:p>
    <w:p w14:paraId="7D69ED3A" w14:textId="06A20D4B" w:rsidR="000A37D7" w:rsidRPr="00E22D77" w:rsidRDefault="007F366F" w:rsidP="00A01DE3">
      <w:pPr>
        <w:spacing w:before="120" w:after="120" w:line="240" w:lineRule="auto"/>
        <w:rPr>
          <w:rFonts w:eastAsia="Times New Roman" w:cs="Times New Roman"/>
          <w:noProof/>
          <w:szCs w:val="24"/>
        </w:rPr>
      </w:pPr>
      <w:r w:rsidRPr="00E22D77">
        <w:rPr>
          <w:noProof/>
        </w:rPr>
        <w:t>Vykonávanie sankcií EÚ voči Rusku viedlo aj</w:t>
      </w:r>
      <w:r w:rsidR="00E22D77">
        <w:rPr>
          <w:noProof/>
        </w:rPr>
        <w:t xml:space="preserve"> k </w:t>
      </w:r>
      <w:r w:rsidRPr="00E22D77">
        <w:rPr>
          <w:noProof/>
        </w:rPr>
        <w:t>výraznému zvýšeniu výmeny informácií medzi príslušnými regulačnými orgánmi, ako sú orgány kontroly vývozu</w:t>
      </w:r>
      <w:r w:rsidR="00E22D77">
        <w:rPr>
          <w:noProof/>
        </w:rPr>
        <w:t xml:space="preserve"> a </w:t>
      </w:r>
      <w:r w:rsidRPr="00E22D77">
        <w:rPr>
          <w:noProof/>
        </w:rPr>
        <w:t>colné orgány,</w:t>
      </w:r>
      <w:r w:rsidR="00E22D77">
        <w:rPr>
          <w:noProof/>
        </w:rPr>
        <w:t xml:space="preserve"> a v </w:t>
      </w:r>
      <w:r w:rsidRPr="00E22D77">
        <w:rPr>
          <w:noProof/>
        </w:rPr>
        <w:t>prípade informácií</w:t>
      </w:r>
      <w:r w:rsidR="00E22D77">
        <w:rPr>
          <w:noProof/>
        </w:rPr>
        <w:t xml:space="preserve"> o </w:t>
      </w:r>
      <w:r w:rsidRPr="00E22D77">
        <w:rPr>
          <w:noProof/>
        </w:rPr>
        <w:t>rizikách prostredníctvom systému riadenia colných rizík (CRMS2) spravovaného Komisiou</w:t>
      </w:r>
      <w:r w:rsidR="00D35261" w:rsidRPr="00E22D77">
        <w:rPr>
          <w:rStyle w:val="Odkaznapoznmkupodiarou"/>
          <w:rFonts w:eastAsia="Times New Roman" w:cs="Times New Roman"/>
          <w:noProof/>
          <w:szCs w:val="24"/>
        </w:rPr>
        <w:footnoteReference w:id="33"/>
      </w:r>
      <w:r w:rsidRPr="00E22D77">
        <w:rPr>
          <w:noProof/>
        </w:rPr>
        <w:t>. Je to dôležité na zabezpečenie účinného vykonávania opatrení</w:t>
      </w:r>
      <w:r w:rsidR="00E22D77">
        <w:rPr>
          <w:noProof/>
        </w:rPr>
        <w:t xml:space="preserve"> v </w:t>
      </w:r>
      <w:r w:rsidRPr="00E22D77">
        <w:rPr>
          <w:noProof/>
        </w:rPr>
        <w:t>celej EÚ</w:t>
      </w:r>
      <w:r w:rsidRPr="00E22D77">
        <w:rPr>
          <w:rStyle w:val="Odkaznapoznmkupodiarou"/>
          <w:rFonts w:eastAsia="Times New Roman" w:cs="Times New Roman"/>
          <w:noProof/>
          <w:szCs w:val="24"/>
        </w:rPr>
        <w:footnoteReference w:id="34"/>
      </w:r>
      <w:r w:rsidRPr="00E22D77">
        <w:rPr>
          <w:noProof/>
        </w:rPr>
        <w:t>.</w:t>
      </w:r>
    </w:p>
    <w:p w14:paraId="63BEB7B0" w14:textId="794FD938" w:rsidR="000A37D7" w:rsidRPr="00E22D77" w:rsidRDefault="00117C64" w:rsidP="000A37D7">
      <w:pPr>
        <w:spacing w:before="120" w:after="120" w:line="240" w:lineRule="auto"/>
        <w:rPr>
          <w:rFonts w:eastAsia="Times New Roman" w:cs="Times New Roman"/>
          <w:noProof/>
          <w:szCs w:val="24"/>
        </w:rPr>
      </w:pPr>
      <w:r w:rsidRPr="00E22D77">
        <w:rPr>
          <w:noProof/>
        </w:rPr>
        <w:t>Takéto obmedzenia sú</w:t>
      </w:r>
      <w:r w:rsidR="00E22D77">
        <w:rPr>
          <w:noProof/>
        </w:rPr>
        <w:t xml:space="preserve"> z </w:t>
      </w:r>
      <w:r w:rsidRPr="00E22D77">
        <w:rPr>
          <w:noProof/>
        </w:rPr>
        <w:t>technického</w:t>
      </w:r>
      <w:r w:rsidR="00E22D77">
        <w:rPr>
          <w:noProof/>
        </w:rPr>
        <w:t xml:space="preserve"> a </w:t>
      </w:r>
      <w:r w:rsidRPr="00E22D77">
        <w:rPr>
          <w:noProof/>
        </w:rPr>
        <w:t>procesného hľadiska porovnateľné</w:t>
      </w:r>
      <w:r w:rsidR="00E22D77">
        <w:rPr>
          <w:noProof/>
        </w:rPr>
        <w:t xml:space="preserve"> s </w:t>
      </w:r>
      <w:r w:rsidRPr="00E22D77">
        <w:rPr>
          <w:noProof/>
        </w:rPr>
        <w:t>kontrolami vývozu položiek</w:t>
      </w:r>
      <w:r w:rsidR="00E22D77">
        <w:rPr>
          <w:noProof/>
        </w:rPr>
        <w:t xml:space="preserve"> s </w:t>
      </w:r>
      <w:r w:rsidRPr="00E22D77">
        <w:rPr>
          <w:noProof/>
        </w:rPr>
        <w:t>dvojakým použitím</w:t>
      </w:r>
      <w:r w:rsidR="008F7AD6" w:rsidRPr="00E22D77">
        <w:rPr>
          <w:rStyle w:val="Odkaznapoznmkupodiarou"/>
          <w:rFonts w:eastAsia="Times New Roman" w:cs="Times New Roman"/>
          <w:noProof/>
          <w:szCs w:val="24"/>
        </w:rPr>
        <w:footnoteReference w:id="35"/>
      </w:r>
      <w:r w:rsidRPr="00E22D77">
        <w:rPr>
          <w:noProof/>
        </w:rPr>
        <w:t>, hoci je dôležité poznamenať, že sankčný režim EÚ</w:t>
      </w:r>
      <w:r w:rsidR="00E22D77">
        <w:rPr>
          <w:noProof/>
        </w:rPr>
        <w:t xml:space="preserve"> a </w:t>
      </w:r>
      <w:r w:rsidRPr="00E22D77">
        <w:rPr>
          <w:noProof/>
        </w:rPr>
        <w:t>rámec EÚ na kontrolu vývozu položiek</w:t>
      </w:r>
      <w:r w:rsidR="00E22D77">
        <w:rPr>
          <w:noProof/>
        </w:rPr>
        <w:t xml:space="preserve"> s </w:t>
      </w:r>
      <w:r w:rsidRPr="00E22D77">
        <w:rPr>
          <w:noProof/>
        </w:rPr>
        <w:t>dvojakým použitím sú samostatné nástroje</w:t>
      </w:r>
      <w:r w:rsidR="00E22D77">
        <w:rPr>
          <w:noProof/>
        </w:rPr>
        <w:t xml:space="preserve"> s </w:t>
      </w:r>
      <w:r w:rsidRPr="00E22D77">
        <w:rPr>
          <w:noProof/>
        </w:rPr>
        <w:t>rôznymi právnymi základmi, cieľmi</w:t>
      </w:r>
      <w:r w:rsidR="00E22D77">
        <w:rPr>
          <w:noProof/>
        </w:rPr>
        <w:t xml:space="preserve"> a </w:t>
      </w:r>
      <w:r w:rsidRPr="00E22D77">
        <w:rPr>
          <w:noProof/>
        </w:rPr>
        <w:t>pravidlami rozhodovania.</w:t>
      </w:r>
    </w:p>
    <w:p w14:paraId="2699D140" w14:textId="38DEFF05" w:rsidR="000A37D7" w:rsidRPr="00E22D77" w:rsidRDefault="000A37D7" w:rsidP="000A37D7">
      <w:pPr>
        <w:spacing w:before="120" w:after="120" w:line="240" w:lineRule="auto"/>
        <w:rPr>
          <w:rFonts w:eastAsia="Times New Roman" w:cs="Times New Roman"/>
          <w:noProof/>
          <w:szCs w:val="24"/>
        </w:rPr>
      </w:pPr>
      <w:r w:rsidRPr="00E22D77">
        <w:rPr>
          <w:noProof/>
        </w:rPr>
        <w:t>Vývozné obmedzenia</w:t>
      </w:r>
      <w:r w:rsidR="00E22D77">
        <w:rPr>
          <w:noProof/>
        </w:rPr>
        <w:t xml:space="preserve"> v </w:t>
      </w:r>
      <w:r w:rsidRPr="00E22D77">
        <w:rPr>
          <w:noProof/>
        </w:rPr>
        <w:t>sankciách EÚ voči Rusku však potvrdili potenciál kontrol vývozu ako účinného nástroja na riešenie bezpečnostných výziev EÚ, ak sa zavedú rýchlo, jednotne</w:t>
      </w:r>
      <w:r w:rsidR="00E22D77">
        <w:rPr>
          <w:noProof/>
        </w:rPr>
        <w:t xml:space="preserve"> a v </w:t>
      </w:r>
      <w:r w:rsidRPr="00E22D77">
        <w:rPr>
          <w:noProof/>
        </w:rPr>
        <w:t>koordinácii</w:t>
      </w:r>
      <w:r w:rsidR="00E22D77">
        <w:rPr>
          <w:noProof/>
        </w:rPr>
        <w:t xml:space="preserve"> s </w:t>
      </w:r>
      <w:r w:rsidRPr="00E22D77">
        <w:rPr>
          <w:noProof/>
        </w:rPr>
        <w:t>medzinárodnými partnermi.</w:t>
      </w:r>
    </w:p>
    <w:p w14:paraId="75FD56D1" w14:textId="77777777" w:rsidR="000A37D7" w:rsidRPr="00E22D77" w:rsidRDefault="000A37D7" w:rsidP="000A37D7">
      <w:pPr>
        <w:keepNext/>
        <w:numPr>
          <w:ilvl w:val="0"/>
          <w:numId w:val="12"/>
        </w:numPr>
        <w:spacing w:before="360" w:after="120" w:line="240" w:lineRule="auto"/>
        <w:ind w:left="432" w:hanging="432"/>
        <w:outlineLvl w:val="0"/>
        <w:rPr>
          <w:rFonts w:eastAsia="Times New Roman" w:cs="Times New Roman"/>
          <w:b/>
          <w:bCs/>
          <w:smallCaps/>
          <w:noProof/>
          <w:szCs w:val="24"/>
        </w:rPr>
      </w:pPr>
      <w:bookmarkStart w:id="32" w:name="_Toc156899409"/>
      <w:bookmarkStart w:id="33" w:name="_Toc158197731"/>
      <w:r w:rsidRPr="00E22D77">
        <w:rPr>
          <w:b/>
          <w:smallCaps/>
          <w:noProof/>
        </w:rPr>
        <w:lastRenderedPageBreak/>
        <w:t>Navrhované odpovede</w:t>
      </w:r>
      <w:bookmarkEnd w:id="32"/>
      <w:bookmarkEnd w:id="33"/>
    </w:p>
    <w:p w14:paraId="12F89693" w14:textId="52565C82" w:rsidR="000A37D7" w:rsidRPr="00E22D77" w:rsidRDefault="000A37D7" w:rsidP="000A37D7">
      <w:pPr>
        <w:spacing w:before="120" w:after="120" w:line="240" w:lineRule="auto"/>
        <w:rPr>
          <w:rFonts w:eastAsia="Times New Roman" w:cs="Times New Roman"/>
          <w:noProof/>
          <w:szCs w:val="24"/>
        </w:rPr>
      </w:pPr>
      <w:r w:rsidRPr="00E22D77">
        <w:rPr>
          <w:noProof/>
        </w:rPr>
        <w:t>Ako sa očakávalo</w:t>
      </w:r>
      <w:r w:rsidR="00E22D77">
        <w:rPr>
          <w:noProof/>
        </w:rPr>
        <w:t xml:space="preserve"> v </w:t>
      </w:r>
      <w:r w:rsidRPr="00E22D77">
        <w:rPr>
          <w:noProof/>
        </w:rPr>
        <w:t>Európskej stratégii hospodárskej bezpečnosti, potreba rýchlejších</w:t>
      </w:r>
      <w:r w:rsidR="00E22D77">
        <w:rPr>
          <w:noProof/>
        </w:rPr>
        <w:t xml:space="preserve"> a </w:t>
      </w:r>
      <w:r w:rsidRPr="00E22D77">
        <w:rPr>
          <w:noProof/>
        </w:rPr>
        <w:t>koordinovanejších opatrení na úrovni EÚ</w:t>
      </w:r>
      <w:r w:rsidR="00E22D77">
        <w:rPr>
          <w:noProof/>
        </w:rPr>
        <w:t xml:space="preserve"> v </w:t>
      </w:r>
      <w:r w:rsidRPr="00E22D77">
        <w:rPr>
          <w:noProof/>
        </w:rPr>
        <w:t>oblasti kontroly vývozu značne vzrástla, keďže nekoordinovaný nárast kontrol zavádzaných jednotlivými členskými štátmi by vytvoril medzery</w:t>
      </w:r>
      <w:r w:rsidR="00E22D77">
        <w:rPr>
          <w:noProof/>
        </w:rPr>
        <w:t xml:space="preserve"> a </w:t>
      </w:r>
      <w:r w:rsidRPr="00E22D77">
        <w:rPr>
          <w:noProof/>
        </w:rPr>
        <w:t>oslabil účinnosť kontrol vývozu</w:t>
      </w:r>
      <w:r w:rsidR="00E22D77">
        <w:rPr>
          <w:noProof/>
        </w:rPr>
        <w:t xml:space="preserve"> a </w:t>
      </w:r>
      <w:r w:rsidRPr="00E22D77">
        <w:rPr>
          <w:noProof/>
        </w:rPr>
        <w:t>integritu jednotného trhu. Toto riziko je výraznejšie</w:t>
      </w:r>
      <w:r w:rsidR="00E22D77">
        <w:rPr>
          <w:noProof/>
        </w:rPr>
        <w:t xml:space="preserve"> v </w:t>
      </w:r>
      <w:r w:rsidRPr="00E22D77">
        <w:rPr>
          <w:noProof/>
        </w:rPr>
        <w:t>súčasnom rýchlo sa meniacom technologickom prostredí, kde by rozdiely medzi členskými štátmi oslabili hospodársku bezpečnosť EÚ ako celku.</w:t>
      </w:r>
      <w:r w:rsidRPr="00E22D77">
        <w:rPr>
          <w:rFonts w:eastAsia="Times New Roman" w:cs="Times New Roman"/>
          <w:noProof/>
          <w:szCs w:val="24"/>
          <w:vertAlign w:val="superscript"/>
        </w:rPr>
        <w:footnoteReference w:id="36"/>
      </w:r>
    </w:p>
    <w:p w14:paraId="65B5489C" w14:textId="4C8E4D36" w:rsidR="000A37D7" w:rsidRPr="00E22D77" w:rsidRDefault="000A37D7" w:rsidP="000A37D7">
      <w:pPr>
        <w:spacing w:before="120" w:after="120" w:line="240" w:lineRule="auto"/>
        <w:rPr>
          <w:rFonts w:eastAsia="Times New Roman" w:cs="Times New Roman"/>
          <w:noProof/>
          <w:szCs w:val="24"/>
        </w:rPr>
      </w:pPr>
      <w:r w:rsidRPr="00E22D77">
        <w:rPr>
          <w:noProof/>
        </w:rPr>
        <w:t>Vzhľadom na uvedené skutočnosti Európska komisia navrhne</w:t>
      </w:r>
      <w:r w:rsidR="00E22D77">
        <w:rPr>
          <w:noProof/>
        </w:rPr>
        <w:t xml:space="preserve"> v </w:t>
      </w:r>
      <w:r w:rsidRPr="00E22D77">
        <w:rPr>
          <w:noProof/>
        </w:rPr>
        <w:t>krátkodobom aj strednodobom horizonte opatrenia na riešenie týchto obáv. Vysoký predstaviteľ/podpredseda môže</w:t>
      </w:r>
      <w:r w:rsidR="00E22D77">
        <w:rPr>
          <w:noProof/>
        </w:rPr>
        <w:t xml:space="preserve"> v </w:t>
      </w:r>
      <w:r w:rsidRPr="00E22D77">
        <w:rPr>
          <w:noProof/>
        </w:rPr>
        <w:t>prípade potreby poskytnúť svoje príspevky</w:t>
      </w:r>
      <w:r w:rsidR="00E22D77">
        <w:rPr>
          <w:noProof/>
        </w:rPr>
        <w:t xml:space="preserve"> v </w:t>
      </w:r>
      <w:r w:rsidRPr="00E22D77">
        <w:rPr>
          <w:noProof/>
        </w:rPr>
        <w:t>súvislosti</w:t>
      </w:r>
      <w:r w:rsidR="00E22D77">
        <w:rPr>
          <w:noProof/>
        </w:rPr>
        <w:t xml:space="preserve"> s </w:t>
      </w:r>
      <w:r w:rsidRPr="00E22D77">
        <w:rPr>
          <w:noProof/>
        </w:rPr>
        <w:t>možnými otázkami týkajúcimi sa spoločnej zahraničnej</w:t>
      </w:r>
      <w:r w:rsidR="00E22D77">
        <w:rPr>
          <w:noProof/>
        </w:rPr>
        <w:t xml:space="preserve"> a </w:t>
      </w:r>
      <w:r w:rsidRPr="00E22D77">
        <w:rPr>
          <w:noProof/>
        </w:rPr>
        <w:t>bezpečnostnej politiky.</w:t>
      </w:r>
    </w:p>
    <w:p w14:paraId="46BE2F93" w14:textId="2C77CC24" w:rsidR="000A37D7" w:rsidRPr="00E22D77" w:rsidRDefault="000A37D7"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34" w:name="_Toc156899410"/>
      <w:bookmarkStart w:id="35" w:name="_Toc158197732"/>
      <w:r w:rsidRPr="00E22D77">
        <w:rPr>
          <w:b/>
          <w:noProof/>
        </w:rPr>
        <w:t>Zabezpečiť pokračovanie</w:t>
      </w:r>
      <w:r w:rsidR="00E22D77">
        <w:rPr>
          <w:b/>
          <w:noProof/>
        </w:rPr>
        <w:t xml:space="preserve"> a </w:t>
      </w:r>
      <w:r w:rsidRPr="00E22D77">
        <w:rPr>
          <w:b/>
          <w:noProof/>
        </w:rPr>
        <w:t>posilnenie jednotných kontrol</w:t>
      </w:r>
      <w:r w:rsidR="00E22D77">
        <w:rPr>
          <w:b/>
          <w:noProof/>
        </w:rPr>
        <w:t xml:space="preserve"> v </w:t>
      </w:r>
      <w:r w:rsidRPr="00E22D77">
        <w:rPr>
          <w:b/>
          <w:noProof/>
        </w:rPr>
        <w:t>EÚ</w:t>
      </w:r>
      <w:bookmarkEnd w:id="34"/>
      <w:bookmarkEnd w:id="35"/>
    </w:p>
    <w:p w14:paraId="27E7B745" w14:textId="7A5CAD7A" w:rsidR="00E22D77" w:rsidRDefault="000A37D7" w:rsidP="000A37D7">
      <w:pPr>
        <w:spacing w:before="120" w:after="120" w:line="240" w:lineRule="auto"/>
        <w:rPr>
          <w:noProof/>
        </w:rPr>
      </w:pPr>
      <w:r w:rsidRPr="00E22D77">
        <w:rPr>
          <w:noProof/>
        </w:rPr>
        <w:t>Komisia sa domnieva, že</w:t>
      </w:r>
      <w:r w:rsidR="00E22D77">
        <w:rPr>
          <w:noProof/>
        </w:rPr>
        <w:t xml:space="preserve"> v </w:t>
      </w:r>
      <w:r w:rsidRPr="00E22D77">
        <w:rPr>
          <w:noProof/>
        </w:rPr>
        <w:t>krátkodobom horizonte je dôležité hľadať okamžité riešenia rozšírenia prílohy I</w:t>
      </w:r>
      <w:r w:rsidR="00E22D77">
        <w:rPr>
          <w:noProof/>
        </w:rPr>
        <w:t xml:space="preserve"> k </w:t>
      </w:r>
      <w:r w:rsidRPr="00E22D77">
        <w:rPr>
          <w:noProof/>
        </w:rPr>
        <w:t>nariadeniu EÚ</w:t>
      </w:r>
      <w:r w:rsidR="00E22D77">
        <w:rPr>
          <w:noProof/>
        </w:rPr>
        <w:t xml:space="preserve"> o </w:t>
      </w:r>
      <w:r w:rsidRPr="00E22D77">
        <w:rPr>
          <w:noProof/>
        </w:rPr>
        <w:t>položkách</w:t>
      </w:r>
      <w:r w:rsidR="00E22D77">
        <w:rPr>
          <w:noProof/>
        </w:rPr>
        <w:t xml:space="preserve"> s </w:t>
      </w:r>
      <w:r w:rsidRPr="00E22D77">
        <w:rPr>
          <w:noProof/>
        </w:rPr>
        <w:t>dvojakým použitím</w:t>
      </w:r>
      <w:r w:rsidR="00965E21" w:rsidRPr="00E22D77">
        <w:rPr>
          <w:rStyle w:val="Odkaznapoznmkupodiarou"/>
          <w:rFonts w:eastAsia="Times New Roman" w:cs="Times New Roman"/>
          <w:noProof/>
          <w:szCs w:val="24"/>
        </w:rPr>
        <w:footnoteReference w:id="37"/>
      </w:r>
      <w:r w:rsidRPr="00E22D77">
        <w:rPr>
          <w:noProof/>
        </w:rPr>
        <w:t xml:space="preserve"> tak, aby zahŕňala tie položky, ktoré neboli prijaté multilaterálnymi režimami kontroly vývozu</w:t>
      </w:r>
      <w:r w:rsidR="00E22D77">
        <w:rPr>
          <w:noProof/>
        </w:rPr>
        <w:t xml:space="preserve"> z </w:t>
      </w:r>
      <w:r w:rsidRPr="00E22D77">
        <w:rPr>
          <w:noProof/>
        </w:rPr>
        <w:t>dôvodu blokovania niektorými členmi, najmä Ruskom, ale ktoré členské štáty podporili</w:t>
      </w:r>
      <w:r w:rsidR="00E22D77">
        <w:rPr>
          <w:noProof/>
        </w:rPr>
        <w:t xml:space="preserve"> v </w:t>
      </w:r>
      <w:r w:rsidRPr="00E22D77">
        <w:rPr>
          <w:noProof/>
        </w:rPr>
        <w:t>rámci týchto režimov. Mohlo by sa to uskutočniť prostredníctvom cieleného návrhu na zavedenie takýchto kontrol do súčasného kontrolného zoznamu EÚ uvedeného</w:t>
      </w:r>
      <w:r w:rsidR="00E22D77">
        <w:rPr>
          <w:noProof/>
        </w:rPr>
        <w:t xml:space="preserve"> v </w:t>
      </w:r>
      <w:r w:rsidRPr="00E22D77">
        <w:rPr>
          <w:noProof/>
        </w:rPr>
        <w:t>prílohe I</w:t>
      </w:r>
      <w:r w:rsidR="00E22D77">
        <w:rPr>
          <w:noProof/>
        </w:rPr>
        <w:t xml:space="preserve"> k </w:t>
      </w:r>
      <w:r w:rsidRPr="00E22D77">
        <w:rPr>
          <w:noProof/>
        </w:rPr>
        <w:t>nariadeniu</w:t>
      </w:r>
      <w:r w:rsidR="00E22D77">
        <w:rPr>
          <w:noProof/>
        </w:rPr>
        <w:t xml:space="preserve"> o </w:t>
      </w:r>
      <w:r w:rsidRPr="00E22D77">
        <w:rPr>
          <w:noProof/>
        </w:rPr>
        <w:t>položkách</w:t>
      </w:r>
      <w:r w:rsidR="00E22D77">
        <w:rPr>
          <w:noProof/>
        </w:rPr>
        <w:t xml:space="preserve"> s </w:t>
      </w:r>
      <w:r w:rsidRPr="00E22D77">
        <w:rPr>
          <w:noProof/>
        </w:rPr>
        <w:t>dvojakým použitím</w:t>
      </w:r>
      <w:r w:rsidR="00E22D77">
        <w:rPr>
          <w:noProof/>
        </w:rPr>
        <w:t>.</w:t>
      </w:r>
    </w:p>
    <w:p w14:paraId="3FCF7E4B" w14:textId="0B345187" w:rsidR="00EB1556" w:rsidRPr="00E22D77" w:rsidRDefault="009A08DE" w:rsidP="000A37D7">
      <w:pPr>
        <w:spacing w:before="120" w:after="120" w:line="240" w:lineRule="auto"/>
        <w:rPr>
          <w:rFonts w:eastAsia="Times New Roman" w:cs="Times New Roman"/>
          <w:noProof/>
          <w:szCs w:val="24"/>
        </w:rPr>
      </w:pPr>
      <w:bookmarkStart w:id="36" w:name="_Hlk156470774"/>
      <w:r w:rsidRPr="00E22D77">
        <w:rPr>
          <w:noProof/>
        </w:rPr>
        <w:t>Existujú dva spôsoby, ako to urobiť. Prvou cestou je legislatívny návrh Komisie</w:t>
      </w:r>
      <w:r w:rsidR="00E22D77">
        <w:rPr>
          <w:noProof/>
        </w:rPr>
        <w:t xml:space="preserve"> v </w:t>
      </w:r>
      <w:r w:rsidRPr="00E22D77">
        <w:rPr>
          <w:noProof/>
        </w:rPr>
        <w:t>rámci riadneho legislatívneho postupu</w:t>
      </w:r>
      <w:r w:rsidR="00E22D77">
        <w:rPr>
          <w:noProof/>
        </w:rPr>
        <w:t xml:space="preserve"> s </w:t>
      </w:r>
      <w:r w:rsidRPr="00E22D77">
        <w:rPr>
          <w:noProof/>
        </w:rPr>
        <w:t>cieľom umožniť aktualizáciu prílohy I, ktorú by museli prijať spoločne Európsky parlament</w:t>
      </w:r>
      <w:r w:rsidR="00E22D77">
        <w:rPr>
          <w:noProof/>
        </w:rPr>
        <w:t xml:space="preserve"> a </w:t>
      </w:r>
      <w:r w:rsidRPr="00E22D77">
        <w:rPr>
          <w:noProof/>
        </w:rPr>
        <w:t xml:space="preserve">Rada. </w:t>
      </w:r>
      <w:bookmarkEnd w:id="36"/>
      <w:r w:rsidRPr="00E22D77">
        <w:rPr>
          <w:noProof/>
        </w:rPr>
        <w:t>Potenciálnou druhou cestou je delegovaný akt Komisie. Nariadením</w:t>
      </w:r>
      <w:r w:rsidR="00E22D77">
        <w:rPr>
          <w:noProof/>
        </w:rPr>
        <w:t xml:space="preserve"> o </w:t>
      </w:r>
      <w:r w:rsidRPr="00E22D77">
        <w:rPr>
          <w:noProof/>
        </w:rPr>
        <w:t>položkách</w:t>
      </w:r>
      <w:r w:rsidR="00E22D77">
        <w:rPr>
          <w:noProof/>
        </w:rPr>
        <w:t xml:space="preserve"> s </w:t>
      </w:r>
      <w:r w:rsidRPr="00E22D77">
        <w:rPr>
          <w:noProof/>
        </w:rPr>
        <w:t>dvojakým použitím sa na Komisiu deleguje zmena jeho prílohy I za predpokladu, že sú splnené podmienky na využívanie delegovania, najmä že takáto zmena odráža medzinárodné záväzky prijaté členskými štátmi</w:t>
      </w:r>
      <w:r w:rsidR="00E22D77">
        <w:rPr>
          <w:noProof/>
        </w:rPr>
        <w:t xml:space="preserve"> v </w:t>
      </w:r>
      <w:r w:rsidRPr="00E22D77">
        <w:rPr>
          <w:noProof/>
        </w:rPr>
        <w:t>súvislosti</w:t>
      </w:r>
      <w:r w:rsidR="00E22D77">
        <w:rPr>
          <w:noProof/>
        </w:rPr>
        <w:t xml:space="preserve"> s </w:t>
      </w:r>
      <w:r w:rsidRPr="00E22D77">
        <w:rPr>
          <w:noProof/>
        </w:rPr>
        <w:t>týmito novými položkami. Komisia môže zvážiť túto druhú cestu, ak budú môcť členské štáty</w:t>
      </w:r>
      <w:r w:rsidR="00E22D77">
        <w:rPr>
          <w:noProof/>
        </w:rPr>
        <w:t xml:space="preserve"> v </w:t>
      </w:r>
      <w:r w:rsidRPr="00E22D77">
        <w:rPr>
          <w:noProof/>
        </w:rPr>
        <w:t>budúcnosti potvrdiť, že prijali takéto záväzky na medzinárodnej úrovni.</w:t>
      </w:r>
    </w:p>
    <w:p w14:paraId="3157F816" w14:textId="7E76D4CA" w:rsidR="000A37D7" w:rsidRPr="00E22D77" w:rsidRDefault="00030C82" w:rsidP="000A37D7">
      <w:pPr>
        <w:spacing w:before="120" w:after="120" w:line="240" w:lineRule="auto"/>
        <w:rPr>
          <w:rFonts w:eastAsia="Times New Roman" w:cs="Times New Roman"/>
          <w:noProof/>
          <w:szCs w:val="24"/>
        </w:rPr>
      </w:pPr>
      <w:r w:rsidRPr="00E22D77">
        <w:rPr>
          <w:noProof/>
        </w:rPr>
        <w:t>Zavedením nových položiek, ktoré podliehajú kontrolám vývozu podľa prílohy I</w:t>
      </w:r>
      <w:r w:rsidR="00E22D77">
        <w:rPr>
          <w:noProof/>
        </w:rPr>
        <w:t xml:space="preserve"> k </w:t>
      </w:r>
      <w:r w:rsidRPr="00E22D77">
        <w:rPr>
          <w:noProof/>
        </w:rPr>
        <w:t>nariadeniu</w:t>
      </w:r>
      <w:r w:rsidR="00E22D77">
        <w:rPr>
          <w:noProof/>
        </w:rPr>
        <w:t xml:space="preserve"> o </w:t>
      </w:r>
      <w:r w:rsidRPr="00E22D77">
        <w:rPr>
          <w:noProof/>
        </w:rPr>
        <w:t>položkách</w:t>
      </w:r>
      <w:r w:rsidR="00E22D77">
        <w:rPr>
          <w:noProof/>
        </w:rPr>
        <w:t xml:space="preserve"> s </w:t>
      </w:r>
      <w:r w:rsidRPr="00E22D77">
        <w:rPr>
          <w:noProof/>
        </w:rPr>
        <w:t>dvojakým použitím, by sa predišlo obmedzeniam vnútroštátnych kontrol vysvetleným</w:t>
      </w:r>
      <w:r w:rsidR="00E22D77">
        <w:rPr>
          <w:noProof/>
        </w:rPr>
        <w:t xml:space="preserve"> v </w:t>
      </w:r>
      <w:r w:rsidRPr="00E22D77">
        <w:rPr>
          <w:noProof/>
        </w:rPr>
        <w:t>oddiele 4.1. Umožnilo by to jednotné kontroly vo všetkých 27 členských štátoch, prijaté</w:t>
      </w:r>
      <w:r w:rsidR="00E22D77">
        <w:rPr>
          <w:noProof/>
        </w:rPr>
        <w:t xml:space="preserve"> v </w:t>
      </w:r>
      <w:r w:rsidRPr="00E22D77">
        <w:rPr>
          <w:noProof/>
        </w:rPr>
        <w:t>rovnakom čase vo všetkých úradných jazykoch EÚ</w:t>
      </w:r>
      <w:r w:rsidR="00E22D77">
        <w:rPr>
          <w:noProof/>
        </w:rPr>
        <w:t xml:space="preserve"> a </w:t>
      </w:r>
      <w:r w:rsidRPr="00E22D77">
        <w:rPr>
          <w:noProof/>
        </w:rPr>
        <w:t>zverejnené. Tento súbor jednotných kontrol EÚ by chránil vnútorný trh</w:t>
      </w:r>
      <w:r w:rsidR="00E22D77">
        <w:rPr>
          <w:noProof/>
        </w:rPr>
        <w:t xml:space="preserve"> a </w:t>
      </w:r>
      <w:r w:rsidRPr="00E22D77">
        <w:rPr>
          <w:noProof/>
        </w:rPr>
        <w:t>pomohol by vytvoriť rovnaké podmienky pre vývozcov</w:t>
      </w:r>
      <w:r w:rsidR="00E22D77">
        <w:rPr>
          <w:noProof/>
        </w:rPr>
        <w:t xml:space="preserve"> z </w:t>
      </w:r>
      <w:r w:rsidRPr="00E22D77">
        <w:rPr>
          <w:noProof/>
        </w:rPr>
        <w:t>EÚ. Zvýšila by sa aj účinnosť kontrol EÚ</w:t>
      </w:r>
      <w:r w:rsidR="00E22D77">
        <w:rPr>
          <w:noProof/>
        </w:rPr>
        <w:t xml:space="preserve"> a </w:t>
      </w:r>
      <w:r w:rsidRPr="00E22D77">
        <w:rPr>
          <w:noProof/>
        </w:rPr>
        <w:t>efektívnosť kontrol vo všetkých členských štátoch, napríklad efektívnejším využívaním legislatívnych</w:t>
      </w:r>
      <w:r w:rsidR="00E22D77">
        <w:rPr>
          <w:noProof/>
        </w:rPr>
        <w:t xml:space="preserve"> a </w:t>
      </w:r>
      <w:r w:rsidRPr="00E22D77">
        <w:rPr>
          <w:noProof/>
        </w:rPr>
        <w:t>regulačných zdrojov</w:t>
      </w:r>
      <w:r w:rsidR="00E22D77">
        <w:rPr>
          <w:noProof/>
        </w:rPr>
        <w:t xml:space="preserve"> v </w:t>
      </w:r>
      <w:r w:rsidRPr="00E22D77">
        <w:rPr>
          <w:noProof/>
        </w:rPr>
        <w:t>členských štátoch.</w:t>
      </w:r>
    </w:p>
    <w:p w14:paraId="704130AB" w14:textId="146EED57" w:rsidR="003208E8" w:rsidRPr="00E22D77" w:rsidRDefault="003208E8" w:rsidP="003208E8">
      <w:pPr>
        <w:keepNext/>
        <w:numPr>
          <w:ilvl w:val="1"/>
          <w:numId w:val="12"/>
        </w:numPr>
        <w:spacing w:before="120" w:after="120" w:line="240" w:lineRule="auto"/>
        <w:ind w:left="576" w:hanging="576"/>
        <w:outlineLvl w:val="1"/>
        <w:rPr>
          <w:rFonts w:eastAsia="Times New Roman" w:cs="Times New Roman"/>
          <w:b/>
          <w:bCs/>
          <w:iCs/>
          <w:noProof/>
          <w:szCs w:val="24"/>
        </w:rPr>
      </w:pPr>
      <w:bookmarkStart w:id="37" w:name="_Toc156899411"/>
      <w:bookmarkStart w:id="38" w:name="_Toc158197733"/>
      <w:r w:rsidRPr="00E22D77">
        <w:rPr>
          <w:b/>
          <w:noProof/>
        </w:rPr>
        <w:t>Vytvoriť fórum pre politickú koordináciu kontrol vývozu</w:t>
      </w:r>
      <w:bookmarkEnd w:id="37"/>
      <w:bookmarkEnd w:id="38"/>
    </w:p>
    <w:p w14:paraId="284905C8" w14:textId="1C50EF29" w:rsidR="003208E8" w:rsidRPr="00E22D77" w:rsidRDefault="003208E8" w:rsidP="009A3902">
      <w:pPr>
        <w:spacing w:before="120" w:after="120" w:line="240" w:lineRule="auto"/>
        <w:rPr>
          <w:rFonts w:eastAsia="Times New Roman" w:cs="Times New Roman"/>
          <w:noProof/>
          <w:szCs w:val="24"/>
        </w:rPr>
      </w:pPr>
      <w:r w:rsidRPr="00E22D77">
        <w:rPr>
          <w:noProof/>
        </w:rPr>
        <w:t>Vzhľadom na vyššie uvedené rastúce geopolitické tlaky by členské štáty</w:t>
      </w:r>
      <w:r w:rsidR="00E22D77">
        <w:rPr>
          <w:noProof/>
        </w:rPr>
        <w:t xml:space="preserve"> a </w:t>
      </w:r>
      <w:r w:rsidRPr="00E22D77">
        <w:rPr>
          <w:noProof/>
        </w:rPr>
        <w:t>Komisia mali mať fórum na diskusiu</w:t>
      </w:r>
      <w:r w:rsidR="00E22D77">
        <w:rPr>
          <w:noProof/>
        </w:rPr>
        <w:t xml:space="preserve"> o </w:t>
      </w:r>
      <w:r w:rsidRPr="00E22D77">
        <w:rPr>
          <w:noProof/>
        </w:rPr>
        <w:t>vývoji na príslušnej vyššej úrovni</w:t>
      </w:r>
      <w:r w:rsidR="00E22D77">
        <w:rPr>
          <w:noProof/>
        </w:rPr>
        <w:t xml:space="preserve"> s </w:t>
      </w:r>
      <w:r w:rsidRPr="00E22D77">
        <w:rPr>
          <w:noProof/>
        </w:rPr>
        <w:t>cieľom podporiť spoločné pozície EÚ, zohľadniť rozmer jednotného trhu vo vývoji</w:t>
      </w:r>
      <w:r w:rsidR="00E22D77">
        <w:rPr>
          <w:noProof/>
        </w:rPr>
        <w:t xml:space="preserve"> v </w:t>
      </w:r>
      <w:r w:rsidRPr="00E22D77">
        <w:rPr>
          <w:noProof/>
        </w:rPr>
        <w:t>oblasti kontroly vývozu</w:t>
      </w:r>
      <w:r w:rsidR="00E22D77">
        <w:rPr>
          <w:noProof/>
        </w:rPr>
        <w:t xml:space="preserve"> a </w:t>
      </w:r>
      <w:r w:rsidRPr="00E22D77">
        <w:rPr>
          <w:noProof/>
        </w:rPr>
        <w:t>pripraviť</w:t>
      </w:r>
      <w:r w:rsidR="00E22D77">
        <w:rPr>
          <w:noProof/>
        </w:rPr>
        <w:t xml:space="preserve"> a </w:t>
      </w:r>
      <w:r w:rsidRPr="00E22D77">
        <w:rPr>
          <w:noProof/>
        </w:rPr>
        <w:t>koordinovať opatrenia na medzinárodnej úrovni. Mohlo by to mať podobu politického fóra na kontrolu vývozu.</w:t>
      </w:r>
    </w:p>
    <w:p w14:paraId="10162C95" w14:textId="6838ACE6" w:rsidR="00E72B26" w:rsidRPr="00E22D77" w:rsidRDefault="00DB42EC" w:rsidP="00E72B26">
      <w:pPr>
        <w:keepNext/>
        <w:numPr>
          <w:ilvl w:val="1"/>
          <w:numId w:val="12"/>
        </w:numPr>
        <w:spacing w:before="120" w:after="120" w:line="240" w:lineRule="auto"/>
        <w:ind w:left="576" w:hanging="576"/>
        <w:outlineLvl w:val="1"/>
        <w:rPr>
          <w:rFonts w:eastAsia="Times New Roman" w:cs="Times New Roman"/>
          <w:b/>
          <w:bCs/>
          <w:iCs/>
          <w:noProof/>
          <w:szCs w:val="24"/>
        </w:rPr>
      </w:pPr>
      <w:bookmarkStart w:id="39" w:name="_Toc156899412"/>
      <w:bookmarkStart w:id="40" w:name="_Toc158197734"/>
      <w:r w:rsidRPr="00E22D77">
        <w:rPr>
          <w:b/>
          <w:noProof/>
        </w:rPr>
        <w:lastRenderedPageBreak/>
        <w:t>Mechanizmus lepšej koordinácie nových vnútroštátnych kontrolných zoznamov</w:t>
      </w:r>
      <w:bookmarkEnd w:id="39"/>
      <w:bookmarkEnd w:id="40"/>
    </w:p>
    <w:p w14:paraId="1FA89CD3" w14:textId="1BD63ADF" w:rsidR="00E72B26" w:rsidRPr="00E22D77" w:rsidRDefault="00E72B26" w:rsidP="000A37D7">
      <w:pPr>
        <w:spacing w:before="120" w:after="120" w:line="240" w:lineRule="auto"/>
        <w:rPr>
          <w:rFonts w:eastAsia="Times New Roman" w:cs="Times New Roman"/>
          <w:noProof/>
          <w:spacing w:val="-6"/>
          <w:szCs w:val="24"/>
        </w:rPr>
      </w:pPr>
      <w:r w:rsidRPr="00E22D77">
        <w:rPr>
          <w:noProof/>
          <w:spacing w:val="-6"/>
        </w:rPr>
        <w:t>Aj</w:t>
      </w:r>
      <w:r w:rsidR="00E22D77" w:rsidRPr="00E22D77">
        <w:rPr>
          <w:noProof/>
          <w:spacing w:val="-6"/>
        </w:rPr>
        <w:t xml:space="preserve"> z </w:t>
      </w:r>
      <w:r w:rsidRPr="00E22D77">
        <w:rPr>
          <w:noProof/>
          <w:spacing w:val="-6"/>
        </w:rPr>
        <w:t>krátkodobého hľadiska sa Komisia domnieva, že je nevyhnutné zlepšiť koordináciu nových vnútroštátnych kontrolných zoznamov zavedených členskými štátmi EÚ. Reaguje to na situácie, keď sa členské štáty môžu rozhodnúť prijať vnútroštátne kontrolné zoznamy</w:t>
      </w:r>
      <w:r w:rsidR="00E22D77" w:rsidRPr="00E22D77">
        <w:rPr>
          <w:noProof/>
          <w:spacing w:val="-6"/>
        </w:rPr>
        <w:t xml:space="preserve"> v </w:t>
      </w:r>
      <w:r w:rsidRPr="00E22D77">
        <w:rPr>
          <w:noProof/>
          <w:spacing w:val="-6"/>
        </w:rPr>
        <w:t>súvislosti</w:t>
      </w:r>
      <w:r w:rsidR="00E22D77" w:rsidRPr="00E22D77">
        <w:rPr>
          <w:noProof/>
          <w:spacing w:val="-6"/>
        </w:rPr>
        <w:t xml:space="preserve"> s </w:t>
      </w:r>
      <w:r w:rsidRPr="00E22D77">
        <w:rPr>
          <w:noProof/>
          <w:spacing w:val="-6"/>
        </w:rPr>
        <w:t>položkami, ktoré považujú za rizikové, ale ktoré ešte nie sú kontrolované na multilaterálnej úrovni.</w:t>
      </w:r>
    </w:p>
    <w:p w14:paraId="25731E26" w14:textId="6BAB5F7C" w:rsidR="00E22D77" w:rsidRDefault="00EA499E" w:rsidP="008A4A2F">
      <w:pPr>
        <w:spacing w:before="120" w:after="120" w:line="240" w:lineRule="auto"/>
        <w:rPr>
          <w:noProof/>
        </w:rPr>
      </w:pPr>
      <w:r w:rsidRPr="00E22D77">
        <w:rPr>
          <w:noProof/>
        </w:rPr>
        <w:t>Pred koncom svojho funkčného obdobia má Komisia</w:t>
      </w:r>
      <w:r w:rsidR="00E22D77">
        <w:rPr>
          <w:noProof/>
        </w:rPr>
        <w:t xml:space="preserve"> v </w:t>
      </w:r>
      <w:r w:rsidRPr="00E22D77">
        <w:rPr>
          <w:noProof/>
        </w:rPr>
        <w:t>úmysle prijať odporúčanie,</w:t>
      </w:r>
      <w:r w:rsidR="00E22D77">
        <w:rPr>
          <w:noProof/>
        </w:rPr>
        <w:t xml:space="preserve"> v </w:t>
      </w:r>
      <w:r w:rsidRPr="00E22D77">
        <w:rPr>
          <w:noProof/>
        </w:rPr>
        <w:t>ktorom navrhne zlepšenie takejto koordinácie.</w:t>
      </w:r>
      <w:r w:rsidR="00E22D77">
        <w:rPr>
          <w:noProof/>
        </w:rPr>
        <w:t xml:space="preserve"> V </w:t>
      </w:r>
      <w:r w:rsidRPr="00E22D77">
        <w:rPr>
          <w:noProof/>
        </w:rPr>
        <w:t>opatrení by sa odporúčalo, aby členské štáty pred prijatím oznámili ostatným členským štátom</w:t>
      </w:r>
      <w:r w:rsidR="00E22D77">
        <w:rPr>
          <w:noProof/>
        </w:rPr>
        <w:t xml:space="preserve"> a </w:t>
      </w:r>
      <w:r w:rsidRPr="00E22D77">
        <w:rPr>
          <w:noProof/>
        </w:rPr>
        <w:t>Komisii každý nový vnútroštátny kontrolný zoznam</w:t>
      </w:r>
      <w:r w:rsidR="00E22D77">
        <w:rPr>
          <w:noProof/>
        </w:rPr>
        <w:t xml:space="preserve"> a </w:t>
      </w:r>
      <w:r w:rsidRPr="00E22D77">
        <w:rPr>
          <w:noProof/>
        </w:rPr>
        <w:t>aby ostatné členské štáty mali možnosť vyjadriť sa</w:t>
      </w:r>
      <w:r w:rsidR="00E22D77">
        <w:rPr>
          <w:noProof/>
        </w:rPr>
        <w:t xml:space="preserve"> k </w:t>
      </w:r>
      <w:r w:rsidRPr="00E22D77">
        <w:rPr>
          <w:noProof/>
        </w:rPr>
        <w:t>plánovanému vnútroštátnemu kontrolnému zoznamu, ak sa domnievajú, že tento zoznam by mohol mať vplyv na ich verejnú bezpečnosť,</w:t>
      </w:r>
      <w:r w:rsidR="00E22D77">
        <w:rPr>
          <w:noProof/>
        </w:rPr>
        <w:t xml:space="preserve"> a </w:t>
      </w:r>
      <w:r w:rsidRPr="00E22D77">
        <w:rPr>
          <w:noProof/>
        </w:rPr>
        <w:t>poskytnúť členskému štátu navrhujúcemu takéto kontroly relevantné informácie. Komisia by bola takisto pripravená predložiť pripomienky alebo prijať stanoviská</w:t>
      </w:r>
      <w:r w:rsidR="00E22D77">
        <w:rPr>
          <w:noProof/>
        </w:rPr>
        <w:t xml:space="preserve"> v </w:t>
      </w:r>
      <w:r w:rsidRPr="00E22D77">
        <w:rPr>
          <w:noProof/>
        </w:rPr>
        <w:t>situáciách, keď sa domnieva, že nový vnútroštátny kontrolný zoznam pravdepodobne ovplyvní verejnú bezpečnosť viac ako jedného členského štátu alebo záujem Únie</w:t>
      </w:r>
      <w:r w:rsidR="003F776A" w:rsidRPr="00E22D77">
        <w:rPr>
          <w:rStyle w:val="Odkaznapoznmkupodiarou"/>
          <w:rFonts w:eastAsia="Times New Roman" w:cs="Times New Roman"/>
          <w:noProof/>
          <w:szCs w:val="24"/>
        </w:rPr>
        <w:footnoteReference w:id="38"/>
      </w:r>
      <w:r w:rsidR="00E22D77">
        <w:rPr>
          <w:noProof/>
        </w:rPr>
        <w:t>.</w:t>
      </w:r>
    </w:p>
    <w:p w14:paraId="670503E4" w14:textId="41B7744A" w:rsidR="00FD56C8" w:rsidRPr="00E22D77" w:rsidRDefault="007344D8" w:rsidP="008A4A2F">
      <w:pPr>
        <w:spacing w:before="120" w:after="120" w:line="240" w:lineRule="auto"/>
        <w:rPr>
          <w:rFonts w:eastAsia="Times New Roman" w:cs="Times New Roman"/>
          <w:noProof/>
          <w:szCs w:val="24"/>
        </w:rPr>
      </w:pPr>
      <w:r w:rsidRPr="00E22D77">
        <w:rPr>
          <w:noProof/>
        </w:rPr>
        <w:t>Tento dobrovoľný prístup</w:t>
      </w:r>
      <w:r w:rsidR="00E22D77">
        <w:rPr>
          <w:noProof/>
        </w:rPr>
        <w:t xml:space="preserve"> k </w:t>
      </w:r>
      <w:r w:rsidRPr="00E22D77">
        <w:rPr>
          <w:noProof/>
        </w:rPr>
        <w:t>posilneniu koordinácie by mal potenciál zvýšiť transparentnosť</w:t>
      </w:r>
      <w:r w:rsidR="00E22D77">
        <w:rPr>
          <w:noProof/>
        </w:rPr>
        <w:t xml:space="preserve"> v </w:t>
      </w:r>
      <w:r w:rsidRPr="00E22D77">
        <w:rPr>
          <w:noProof/>
        </w:rPr>
        <w:t>súvislosti</w:t>
      </w:r>
      <w:r w:rsidR="00E22D77">
        <w:rPr>
          <w:noProof/>
        </w:rPr>
        <w:t xml:space="preserve"> s </w:t>
      </w:r>
      <w:r w:rsidRPr="00E22D77">
        <w:rPr>
          <w:noProof/>
        </w:rPr>
        <w:t>prijímaním nových vnútroštátnych kontrolných zoznamov členskými štátmi; uľahčiť koordináciu kontrol medzi členskými štátmi podľa článkov 9</w:t>
      </w:r>
      <w:r w:rsidR="00E22D77">
        <w:rPr>
          <w:noProof/>
        </w:rPr>
        <w:t xml:space="preserve"> a </w:t>
      </w:r>
      <w:r w:rsidRPr="00E22D77">
        <w:rPr>
          <w:noProof/>
        </w:rPr>
        <w:t>10 nariadenia</w:t>
      </w:r>
      <w:r w:rsidR="00E22D77">
        <w:rPr>
          <w:noProof/>
        </w:rPr>
        <w:t xml:space="preserve"> o </w:t>
      </w:r>
      <w:r w:rsidRPr="00E22D77">
        <w:rPr>
          <w:noProof/>
        </w:rPr>
        <w:t>položkách</w:t>
      </w:r>
      <w:r w:rsidR="00E22D77">
        <w:rPr>
          <w:noProof/>
        </w:rPr>
        <w:t xml:space="preserve"> s </w:t>
      </w:r>
      <w:r w:rsidRPr="00E22D77">
        <w:rPr>
          <w:noProof/>
        </w:rPr>
        <w:t>dvojakým použitím</w:t>
      </w:r>
      <w:r w:rsidR="00E22D77">
        <w:rPr>
          <w:noProof/>
        </w:rPr>
        <w:t xml:space="preserve"> a </w:t>
      </w:r>
      <w:r w:rsidRPr="00E22D77">
        <w:rPr>
          <w:noProof/>
        </w:rPr>
        <w:t>umožniť príslušným vnútroštátnym orgánom zohľadniť potenciálne riziká alebo vplyvy svojich rozhodnutí na iné členské štáty</w:t>
      </w:r>
      <w:r w:rsidR="00E22D77">
        <w:rPr>
          <w:noProof/>
        </w:rPr>
        <w:t xml:space="preserve"> a </w:t>
      </w:r>
      <w:r w:rsidRPr="00E22D77">
        <w:rPr>
          <w:noProof/>
        </w:rPr>
        <w:t>Úniu.</w:t>
      </w:r>
    </w:p>
    <w:p w14:paraId="16D52662" w14:textId="4663A686" w:rsidR="000A37D7" w:rsidRPr="00E22D77" w:rsidRDefault="001B64D6" w:rsidP="000A37D7">
      <w:pPr>
        <w:keepNext/>
        <w:numPr>
          <w:ilvl w:val="1"/>
          <w:numId w:val="12"/>
        </w:numPr>
        <w:spacing w:before="120" w:after="120" w:line="240" w:lineRule="auto"/>
        <w:ind w:left="576" w:hanging="576"/>
        <w:outlineLvl w:val="1"/>
        <w:rPr>
          <w:rFonts w:eastAsia="Times New Roman" w:cs="Times New Roman"/>
          <w:b/>
          <w:bCs/>
          <w:iCs/>
          <w:noProof/>
          <w:szCs w:val="24"/>
        </w:rPr>
      </w:pPr>
      <w:bookmarkStart w:id="42" w:name="_Toc156899413"/>
      <w:bookmarkStart w:id="43" w:name="_Toc158197735"/>
      <w:r w:rsidRPr="00E22D77">
        <w:rPr>
          <w:b/>
          <w:noProof/>
        </w:rPr>
        <w:t>Načasovať hodnotenie nariadenia</w:t>
      </w:r>
      <w:r w:rsidR="00E22D77">
        <w:rPr>
          <w:b/>
          <w:noProof/>
        </w:rPr>
        <w:t xml:space="preserve"> o </w:t>
      </w:r>
      <w:r w:rsidRPr="00E22D77">
        <w:rPr>
          <w:b/>
          <w:noProof/>
        </w:rPr>
        <w:t>položkách</w:t>
      </w:r>
      <w:r w:rsidR="00E22D77">
        <w:rPr>
          <w:b/>
          <w:noProof/>
        </w:rPr>
        <w:t xml:space="preserve"> s </w:t>
      </w:r>
      <w:r w:rsidRPr="00E22D77">
        <w:rPr>
          <w:b/>
          <w:noProof/>
        </w:rPr>
        <w:t>dvojakým použitím</w:t>
      </w:r>
      <w:bookmarkEnd w:id="42"/>
      <w:bookmarkEnd w:id="43"/>
    </w:p>
    <w:p w14:paraId="0A2E2E89" w14:textId="272753BB" w:rsidR="000A37D7" w:rsidRPr="00E22D77" w:rsidRDefault="006B61A2" w:rsidP="000A37D7">
      <w:pPr>
        <w:spacing w:before="120" w:after="120" w:line="240" w:lineRule="auto"/>
        <w:rPr>
          <w:rFonts w:eastAsia="Times New Roman" w:cs="Times New Roman"/>
          <w:noProof/>
          <w:szCs w:val="24"/>
        </w:rPr>
      </w:pPr>
      <w:r w:rsidRPr="00E22D77">
        <w:rPr>
          <w:noProof/>
        </w:rPr>
        <w:t>V nariadení</w:t>
      </w:r>
      <w:r w:rsidR="00E22D77">
        <w:rPr>
          <w:noProof/>
        </w:rPr>
        <w:t xml:space="preserve"> o </w:t>
      </w:r>
      <w:r w:rsidRPr="00E22D77">
        <w:rPr>
          <w:noProof/>
        </w:rPr>
        <w:t>položkách</w:t>
      </w:r>
      <w:r w:rsidR="00E22D77">
        <w:rPr>
          <w:noProof/>
        </w:rPr>
        <w:t xml:space="preserve"> s </w:t>
      </w:r>
      <w:r w:rsidRPr="00E22D77">
        <w:rPr>
          <w:noProof/>
        </w:rPr>
        <w:t>dvojakým použitím sa predpokladá jeho hodnotenie</w:t>
      </w:r>
      <w:r w:rsidR="00E22D77">
        <w:rPr>
          <w:noProof/>
        </w:rPr>
        <w:t xml:space="preserve"> v </w:t>
      </w:r>
      <w:r w:rsidRPr="00E22D77">
        <w:rPr>
          <w:noProof/>
        </w:rPr>
        <w:t>rokoch 2026 až 2028. Rýchle tempo udalostí</w:t>
      </w:r>
      <w:r w:rsidR="00E22D77">
        <w:rPr>
          <w:noProof/>
        </w:rPr>
        <w:t xml:space="preserve"> v </w:t>
      </w:r>
      <w:r w:rsidRPr="00E22D77">
        <w:rPr>
          <w:noProof/>
        </w:rPr>
        <w:t>posledných troch rokoch však vedie Komisiu</w:t>
      </w:r>
      <w:r w:rsidR="00E22D77">
        <w:rPr>
          <w:noProof/>
        </w:rPr>
        <w:t xml:space="preserve"> k </w:t>
      </w:r>
      <w:r w:rsidRPr="00E22D77">
        <w:rPr>
          <w:noProof/>
        </w:rPr>
        <w:t>záveru, že hodnotenie by sa malo posunúť na prvý štvrťrok roku 2025</w:t>
      </w:r>
      <w:r w:rsidR="00E22D77">
        <w:rPr>
          <w:noProof/>
        </w:rPr>
        <w:t xml:space="preserve"> s </w:t>
      </w:r>
      <w:r w:rsidRPr="00E22D77">
        <w:rPr>
          <w:noProof/>
        </w:rPr>
        <w:t>cieľom posúdiť</w:t>
      </w:r>
      <w:r w:rsidR="00E22D77">
        <w:rPr>
          <w:noProof/>
        </w:rPr>
        <w:t xml:space="preserve"> a </w:t>
      </w:r>
      <w:r w:rsidRPr="00E22D77">
        <w:rPr>
          <w:noProof/>
        </w:rPr>
        <w:t>následne prípadne predložiť návrhy na nápravu nedostatkov</w:t>
      </w:r>
      <w:r w:rsidR="00E22D77">
        <w:rPr>
          <w:noProof/>
        </w:rPr>
        <w:t xml:space="preserve"> v </w:t>
      </w:r>
      <w:r w:rsidRPr="00E22D77">
        <w:rPr>
          <w:noProof/>
        </w:rPr>
        <w:t>účinnosti</w:t>
      </w:r>
      <w:r w:rsidR="00E22D77">
        <w:rPr>
          <w:noProof/>
        </w:rPr>
        <w:t xml:space="preserve"> a </w:t>
      </w:r>
      <w:r w:rsidRPr="00E22D77">
        <w:rPr>
          <w:noProof/>
        </w:rPr>
        <w:t>efektívnosti nariadenia,</w:t>
      </w:r>
      <w:r w:rsidR="00E22D77">
        <w:rPr>
          <w:noProof/>
        </w:rPr>
        <w:t xml:space="preserve"> z </w:t>
      </w:r>
      <w:r w:rsidRPr="00E22D77">
        <w:rPr>
          <w:noProof/>
        </w:rPr>
        <w:t>ktorých niektoré boli zdôraznené</w:t>
      </w:r>
      <w:r w:rsidR="00E22D77">
        <w:rPr>
          <w:noProof/>
        </w:rPr>
        <w:t xml:space="preserve"> v </w:t>
      </w:r>
      <w:r w:rsidRPr="00E22D77">
        <w:rPr>
          <w:noProof/>
        </w:rPr>
        <w:t>tejto bielej knihe.</w:t>
      </w:r>
    </w:p>
    <w:p w14:paraId="73BCCA46" w14:textId="7575E791" w:rsidR="00E22D77" w:rsidRDefault="000A37D7" w:rsidP="000A37D7">
      <w:pPr>
        <w:spacing w:before="120" w:after="120" w:line="240" w:lineRule="auto"/>
        <w:rPr>
          <w:noProof/>
        </w:rPr>
      </w:pPr>
      <w:r w:rsidRPr="00E22D77">
        <w:rPr>
          <w:noProof/>
        </w:rPr>
        <w:t>Toto hodnotenie bude podporené komplexnou štúdiou</w:t>
      </w:r>
      <w:r w:rsidR="00E22D77">
        <w:rPr>
          <w:noProof/>
        </w:rPr>
        <w:t xml:space="preserve"> v </w:t>
      </w:r>
      <w:r w:rsidRPr="00E22D77">
        <w:rPr>
          <w:noProof/>
        </w:rPr>
        <w:t>roku 2024, ale bude môcť vychádzať aj</w:t>
      </w:r>
      <w:r w:rsidR="00E22D77">
        <w:rPr>
          <w:noProof/>
        </w:rPr>
        <w:t xml:space="preserve"> z </w:t>
      </w:r>
      <w:r w:rsidRPr="00E22D77">
        <w:rPr>
          <w:noProof/>
        </w:rPr>
        <w:t>výsledkov hodnotenia viacerých technológií kritických pre hospodársku bezpečnosť EÚ, ako sa uvádza</w:t>
      </w:r>
      <w:r w:rsidR="00E22D77">
        <w:rPr>
          <w:noProof/>
        </w:rPr>
        <w:t xml:space="preserve"> v </w:t>
      </w:r>
      <w:r w:rsidRPr="00E22D77">
        <w:rPr>
          <w:noProof/>
        </w:rPr>
        <w:t>odporúčaní Komisie</w:t>
      </w:r>
      <w:r w:rsidRPr="00E22D77">
        <w:rPr>
          <w:rFonts w:eastAsia="Times New Roman" w:cs="Times New Roman"/>
          <w:noProof/>
          <w:szCs w:val="24"/>
          <w:vertAlign w:val="superscript"/>
          <w:lang w:eastAsia="en-IE"/>
        </w:rPr>
        <w:footnoteReference w:id="39"/>
      </w:r>
      <w:r w:rsidRPr="00E22D77">
        <w:rPr>
          <w:noProof/>
        </w:rPr>
        <w:t xml:space="preserve"> prijatom 3</w:t>
      </w:r>
      <w:r w:rsidR="00E22D77">
        <w:rPr>
          <w:noProof/>
        </w:rPr>
        <w:t>. októbra</w:t>
      </w:r>
      <w:r w:rsidRPr="00E22D77">
        <w:rPr>
          <w:rFonts w:eastAsia="Times New Roman" w:cs="Times New Roman"/>
          <w:noProof/>
          <w:szCs w:val="24"/>
          <w:vertAlign w:val="superscript"/>
          <w:lang w:eastAsia="en-IE"/>
        </w:rPr>
        <w:footnoteReference w:id="40"/>
      </w:r>
      <w:r w:rsidR="00E22D77">
        <w:rPr>
          <w:noProof/>
        </w:rPr>
        <w:t>.</w:t>
      </w:r>
    </w:p>
    <w:p w14:paraId="4AE6C94B" w14:textId="0CB974D3" w:rsidR="000A37D7" w:rsidRPr="00E22D77" w:rsidRDefault="000A37D7" w:rsidP="000A37D7">
      <w:pPr>
        <w:spacing w:before="120" w:after="120" w:line="240" w:lineRule="auto"/>
        <w:rPr>
          <w:rFonts w:eastAsia="Times New Roman" w:cs="Times New Roman"/>
          <w:noProof/>
          <w:szCs w:val="24"/>
        </w:rPr>
      </w:pPr>
      <w:r w:rsidRPr="00E22D77">
        <w:rPr>
          <w:noProof/>
        </w:rPr>
        <w:t>Toto hodnotenie sa uskutoční po konzultácii</w:t>
      </w:r>
      <w:r w:rsidR="00E22D77">
        <w:rPr>
          <w:noProof/>
        </w:rPr>
        <w:t xml:space="preserve"> s </w:t>
      </w:r>
      <w:r w:rsidRPr="00E22D77">
        <w:rPr>
          <w:noProof/>
        </w:rPr>
        <w:t>členskými štátmi</w:t>
      </w:r>
      <w:r w:rsidR="00E22D77">
        <w:rPr>
          <w:noProof/>
        </w:rPr>
        <w:t xml:space="preserve"> a </w:t>
      </w:r>
      <w:r w:rsidRPr="00E22D77">
        <w:rPr>
          <w:noProof/>
        </w:rPr>
        <w:t>zainteresovanými stranami</w:t>
      </w:r>
      <w:r w:rsidR="00E22D77">
        <w:rPr>
          <w:noProof/>
        </w:rPr>
        <w:t xml:space="preserve"> a </w:t>
      </w:r>
      <w:r w:rsidRPr="00E22D77">
        <w:rPr>
          <w:noProof/>
        </w:rPr>
        <w:t>bude ho sprevádzať verejná konzultácia. To by malo zainteresovaným stranám umožniť identifikovať nedostatky, pokiaľ ide</w:t>
      </w:r>
      <w:r w:rsidR="00E22D77">
        <w:rPr>
          <w:noProof/>
        </w:rPr>
        <w:t xml:space="preserve"> o </w:t>
      </w:r>
      <w:r w:rsidRPr="00E22D77">
        <w:rPr>
          <w:noProof/>
        </w:rPr>
        <w:t>účinnosť</w:t>
      </w:r>
      <w:r w:rsidR="00E22D77">
        <w:rPr>
          <w:noProof/>
        </w:rPr>
        <w:t xml:space="preserve"> a </w:t>
      </w:r>
      <w:r w:rsidRPr="00E22D77">
        <w:rPr>
          <w:noProof/>
        </w:rPr>
        <w:t>efektívnosť súčasného rámca,</w:t>
      </w:r>
      <w:r w:rsidR="00E22D77">
        <w:rPr>
          <w:noProof/>
        </w:rPr>
        <w:t xml:space="preserve"> a </w:t>
      </w:r>
      <w:r w:rsidRPr="00E22D77">
        <w:rPr>
          <w:noProof/>
        </w:rPr>
        <w:t>navrhnúť ich možné riešenia vzhľadom na výzvy identifikované</w:t>
      </w:r>
      <w:r w:rsidR="00E22D77">
        <w:rPr>
          <w:noProof/>
        </w:rPr>
        <w:t xml:space="preserve"> v </w:t>
      </w:r>
      <w:r w:rsidRPr="00E22D77">
        <w:rPr>
          <w:noProof/>
        </w:rPr>
        <w:t>tejto bielej knihe.</w:t>
      </w:r>
    </w:p>
    <w:p w14:paraId="1074A50E" w14:textId="77777777" w:rsidR="00722188" w:rsidRPr="00E22D77" w:rsidRDefault="00722188" w:rsidP="000A37D7">
      <w:pPr>
        <w:spacing w:before="120" w:after="120" w:line="240" w:lineRule="auto"/>
        <w:rPr>
          <w:rFonts w:eastAsia="Times New Roman" w:cs="Times New Roman"/>
          <w:noProof/>
          <w:szCs w:val="24"/>
          <w:lang w:eastAsia="en-IE"/>
        </w:rPr>
      </w:pPr>
    </w:p>
    <w:p w14:paraId="30ECD17B" w14:textId="7A2D075C" w:rsidR="000A37D7" w:rsidRPr="00E22D77" w:rsidRDefault="009A3902" w:rsidP="009A3902">
      <w:pPr>
        <w:spacing w:before="120" w:after="120" w:line="240" w:lineRule="auto"/>
        <w:jc w:val="center"/>
        <w:rPr>
          <w:rFonts w:eastAsia="Times New Roman" w:cs="Times New Roman"/>
          <w:noProof/>
          <w:szCs w:val="24"/>
        </w:rPr>
      </w:pPr>
      <w:r w:rsidRPr="00E22D77">
        <w:rPr>
          <w:noProof/>
        </w:rPr>
        <w:t>*</w:t>
      </w:r>
    </w:p>
    <w:p w14:paraId="588D81CC" w14:textId="2C804EC8" w:rsidR="0084172F" w:rsidRPr="00E22D77" w:rsidRDefault="000A37D7" w:rsidP="009A3902">
      <w:pPr>
        <w:spacing w:before="120" w:after="120" w:line="240" w:lineRule="auto"/>
        <w:jc w:val="center"/>
        <w:rPr>
          <w:rFonts w:eastAsia="Times New Roman" w:cs="Times New Roman"/>
          <w:noProof/>
          <w:szCs w:val="24"/>
        </w:rPr>
      </w:pPr>
      <w:r w:rsidRPr="00E22D77">
        <w:rPr>
          <w:noProof/>
        </w:rPr>
        <w:t>*</w:t>
      </w:r>
      <w:r w:rsidRPr="00E22D77">
        <w:rPr>
          <w:noProof/>
        </w:rPr>
        <w:tab/>
        <w:t xml:space="preserve">            *</w:t>
      </w:r>
    </w:p>
    <w:sectPr w:rsidR="0084172F" w:rsidRPr="00E22D77" w:rsidSect="00A54696">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6DDE" w14:textId="77777777" w:rsidR="00A54696" w:rsidRDefault="00A54696" w:rsidP="008F3CF4">
      <w:pPr>
        <w:spacing w:after="0" w:line="240" w:lineRule="auto"/>
      </w:pPr>
      <w:r>
        <w:separator/>
      </w:r>
    </w:p>
  </w:endnote>
  <w:endnote w:type="continuationSeparator" w:id="0">
    <w:p w14:paraId="204E741E" w14:textId="77777777" w:rsidR="00A54696" w:rsidRDefault="00A54696" w:rsidP="008F3CF4">
      <w:pPr>
        <w:spacing w:after="0" w:line="240" w:lineRule="auto"/>
      </w:pPr>
      <w:r>
        <w:continuationSeparator/>
      </w:r>
    </w:p>
  </w:endnote>
  <w:endnote w:type="continuationNotice" w:id="1">
    <w:p w14:paraId="535C8E89" w14:textId="77777777" w:rsidR="00A54696" w:rsidRDefault="00A54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0BCA" w14:textId="025196AD" w:rsidR="00F37FB3" w:rsidRPr="00F37FB3" w:rsidRDefault="00F37FB3" w:rsidP="00F37FB3">
    <w:pPr>
      <w:pStyle w:val="FooterCoverPage"/>
      <w:rPr>
        <w:rFonts w:ascii="Arial" w:hAnsi="Arial" w:cs="Arial"/>
        <w:b/>
        <w:sz w:val="48"/>
      </w:rPr>
    </w:pPr>
    <w:r w:rsidRPr="00F37FB3">
      <w:rPr>
        <w:rFonts w:ascii="Arial" w:hAnsi="Arial" w:cs="Arial"/>
        <w:b/>
        <w:sz w:val="48"/>
      </w:rPr>
      <w:t>SK</w:t>
    </w:r>
    <w:r w:rsidRPr="00F37FB3">
      <w:rPr>
        <w:rFonts w:ascii="Arial" w:hAnsi="Arial" w:cs="Arial"/>
        <w:b/>
        <w:sz w:val="48"/>
      </w:rPr>
      <w:tab/>
    </w:r>
    <w:r w:rsidRPr="00F37FB3">
      <w:rPr>
        <w:rFonts w:ascii="Arial" w:hAnsi="Arial" w:cs="Arial"/>
        <w:b/>
        <w:sz w:val="48"/>
      </w:rPr>
      <w:tab/>
    </w:r>
    <w:r w:rsidRPr="00F37FB3">
      <w:tab/>
    </w:r>
    <w:r w:rsidRPr="00F37FB3">
      <w:rPr>
        <w:rFonts w:ascii="Arial" w:hAnsi="Arial" w:cs="Arial"/>
        <w:b/>
        <w:sz w:val="48"/>
      </w:rPr>
      <w:t>SK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DDDB" w14:textId="68423E1F" w:rsidR="00F37FB3" w:rsidRPr="00F37FB3" w:rsidRDefault="00F37FB3" w:rsidP="00F37FB3">
    <w:pPr>
      <w:pStyle w:val="FooterCoverPage"/>
      <w:rPr>
        <w:rFonts w:ascii="Arial" w:hAnsi="Arial" w:cs="Arial"/>
        <w:b/>
        <w:sz w:val="48"/>
      </w:rPr>
    </w:pPr>
    <w:r w:rsidRPr="00F37FB3">
      <w:rPr>
        <w:rFonts w:ascii="Arial" w:hAnsi="Arial" w:cs="Arial"/>
        <w:b/>
        <w:sz w:val="48"/>
      </w:rPr>
      <w:t>SK</w:t>
    </w:r>
    <w:r w:rsidRPr="00F37FB3">
      <w:rPr>
        <w:rFonts w:ascii="Arial" w:hAnsi="Arial" w:cs="Arial"/>
        <w:b/>
        <w:sz w:val="48"/>
      </w:rPr>
      <w:tab/>
    </w:r>
    <w:r w:rsidRPr="00F37FB3">
      <w:rPr>
        <w:rFonts w:ascii="Arial" w:hAnsi="Arial" w:cs="Arial"/>
        <w:b/>
        <w:sz w:val="48"/>
      </w:rPr>
      <w:tab/>
    </w:r>
    <w:r w:rsidRPr="00F37FB3">
      <w:tab/>
    </w:r>
    <w:r w:rsidRPr="00F37FB3">
      <w:rPr>
        <w:rFonts w:ascii="Arial" w:hAnsi="Arial" w:cs="Arial"/>
        <w:b/>
        <w:sz w:val="48"/>
      </w:rPr>
      <w:t>SK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41B3" w14:textId="77777777" w:rsidR="00F37FB3" w:rsidRPr="00F37FB3" w:rsidRDefault="00F37FB3" w:rsidP="00F37FB3">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D59C" w14:textId="77777777" w:rsidR="00EA4F23" w:rsidRPr="002A2218" w:rsidRDefault="00EA4F23" w:rsidP="002A2218">
    <w:pPr>
      <w:pStyle w:val="FooterCoverPage"/>
      <w:rPr>
        <w:rFonts w:ascii="Arial" w:hAnsi="Arial" w:cs="Arial"/>
        <w:b/>
        <w:sz w:val="48"/>
      </w:rPr>
    </w:pPr>
    <w:r>
      <w:rPr>
        <w:rFonts w:ascii="Arial" w:hAnsi="Arial"/>
        <w:b/>
        <w:sz w:val="48"/>
      </w:rPr>
      <w:t>SK</w:t>
    </w:r>
    <w:r>
      <w:rPr>
        <w:rFonts w:ascii="Arial" w:hAnsi="Arial"/>
        <w:b/>
        <w:sz w:val="48"/>
      </w:rPr>
      <w:tab/>
    </w:r>
    <w:r>
      <w:rPr>
        <w:rFonts w:ascii="Arial" w:hAnsi="Arial"/>
        <w:b/>
        <w:sz w:val="48"/>
      </w:rPr>
      <w:tab/>
    </w:r>
    <w:r>
      <w:tab/>
    </w:r>
    <w:r>
      <w:rPr>
        <w:rFonts w:ascii="Arial" w:hAnsi="Arial"/>
        <w:b/>
        <w:sz w:val="48"/>
      </w:rPr>
      <w:t>SK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78744"/>
      <w:docPartObj>
        <w:docPartGallery w:val="Page Numbers (Bottom of Page)"/>
        <w:docPartUnique/>
      </w:docPartObj>
    </w:sdtPr>
    <w:sdtEndPr>
      <w:rPr>
        <w:noProof/>
        <w:sz w:val="18"/>
        <w:szCs w:val="18"/>
      </w:rPr>
    </w:sdtEndPr>
    <w:sdtContent>
      <w:p w14:paraId="749DD671" w14:textId="5BE4264C" w:rsidR="008F3CF4" w:rsidRPr="008F3CF4" w:rsidRDefault="008F3CF4">
        <w:pPr>
          <w:pStyle w:val="Pta"/>
          <w:jc w:val="center"/>
          <w:rPr>
            <w:sz w:val="18"/>
            <w:szCs w:val="18"/>
          </w:rPr>
        </w:pPr>
        <w:r w:rsidRPr="008F3CF4">
          <w:rPr>
            <w:sz w:val="18"/>
          </w:rPr>
          <w:fldChar w:fldCharType="begin"/>
        </w:r>
        <w:r w:rsidRPr="008F3CF4">
          <w:rPr>
            <w:sz w:val="18"/>
          </w:rPr>
          <w:instrText xml:space="preserve"> PAGE   \* MERGEFORMAT </w:instrText>
        </w:r>
        <w:r w:rsidRPr="008F3CF4">
          <w:rPr>
            <w:sz w:val="18"/>
          </w:rPr>
          <w:fldChar w:fldCharType="separate"/>
        </w:r>
        <w:r w:rsidR="00F37FB3">
          <w:rPr>
            <w:noProof/>
            <w:sz w:val="18"/>
          </w:rPr>
          <w:t>1</w:t>
        </w:r>
        <w:r w:rsidRPr="008F3CF4">
          <w:rPr>
            <w:sz w:val="18"/>
          </w:rPr>
          <w:fldChar w:fldCharType="end"/>
        </w:r>
      </w:p>
    </w:sdtContent>
  </w:sdt>
  <w:p w14:paraId="663897AC" w14:textId="77777777" w:rsidR="008F3CF4" w:rsidRDefault="008F3CF4">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CF16" w14:textId="77777777" w:rsidR="00EA4F23" w:rsidRDefault="00EA4F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5039" w14:textId="77777777" w:rsidR="00A54696" w:rsidRDefault="00A54696" w:rsidP="008F3CF4">
      <w:pPr>
        <w:spacing w:after="0" w:line="240" w:lineRule="auto"/>
      </w:pPr>
      <w:r>
        <w:separator/>
      </w:r>
    </w:p>
  </w:footnote>
  <w:footnote w:type="continuationSeparator" w:id="0">
    <w:p w14:paraId="1FE6617A" w14:textId="77777777" w:rsidR="00A54696" w:rsidRDefault="00A54696" w:rsidP="008F3CF4">
      <w:pPr>
        <w:spacing w:after="0" w:line="240" w:lineRule="auto"/>
      </w:pPr>
      <w:r>
        <w:continuationSeparator/>
      </w:r>
    </w:p>
  </w:footnote>
  <w:footnote w:type="continuationNotice" w:id="1">
    <w:p w14:paraId="0F86D7C7" w14:textId="77777777" w:rsidR="00A54696" w:rsidRDefault="00A54696">
      <w:pPr>
        <w:spacing w:after="0" w:line="240" w:lineRule="auto"/>
      </w:pPr>
    </w:p>
  </w:footnote>
  <w:footnote w:id="2">
    <w:p w14:paraId="5479943B" w14:textId="48291E4B" w:rsidR="00793411" w:rsidRPr="00E22D77" w:rsidRDefault="00793411" w:rsidP="00E22D77">
      <w:pPr>
        <w:pStyle w:val="Textpoznmkypodiarou"/>
        <w:spacing w:after="0"/>
        <w:ind w:left="709" w:hanging="709"/>
      </w:pPr>
      <w:r w:rsidRPr="00E22D77">
        <w:rPr>
          <w:rStyle w:val="Odkaznapoznmkupodiarou"/>
        </w:rPr>
        <w:footnoteRef/>
      </w:r>
      <w:r w:rsidRPr="00E22D77">
        <w:tab/>
        <w:t>Položky</w:t>
      </w:r>
      <w:r w:rsidR="00E22D77">
        <w:t xml:space="preserve"> s </w:t>
      </w:r>
      <w:r w:rsidRPr="00E22D77">
        <w:t>dvojakým použitím sú tovary, softvér</w:t>
      </w:r>
      <w:r w:rsidR="00E22D77">
        <w:t xml:space="preserve"> a </w:t>
      </w:r>
      <w:r w:rsidRPr="00E22D77">
        <w:t>technológie, ktoré možno použiť na civilné aj vojenské účely. Nezahŕňajú však položky čisto vojenskej povahy, ako sú položky uvedené</w:t>
      </w:r>
      <w:r w:rsidR="00E22D77">
        <w:t xml:space="preserve"> v </w:t>
      </w:r>
      <w:r w:rsidRPr="00E22D77">
        <w:t>Spoločnom zozname vojenského materiálu EÚ (Ú. v. EÚ C 72, 28.2.2023, s. 2 – 37)</w:t>
      </w:r>
      <w:r w:rsidR="00E22D77">
        <w:t>.</w:t>
      </w:r>
    </w:p>
  </w:footnote>
  <w:footnote w:id="3">
    <w:p w14:paraId="407672F0" w14:textId="1644FBEF" w:rsidR="002C2D9D" w:rsidRPr="00E22D77" w:rsidRDefault="002C2D9D" w:rsidP="00E22D77">
      <w:pPr>
        <w:pStyle w:val="Textpoznmkypodiarou"/>
        <w:spacing w:after="0"/>
        <w:ind w:left="709" w:hanging="709"/>
      </w:pPr>
      <w:r w:rsidRPr="00E22D77">
        <w:rPr>
          <w:rStyle w:val="Odkaznapoznmkupodiarou"/>
        </w:rPr>
        <w:footnoteRef/>
      </w:r>
      <w:r w:rsidRPr="00E22D77">
        <w:tab/>
        <w:t>Hlavnými multilaterálnymi režimami,</w:t>
      </w:r>
      <w:r w:rsidR="00E22D77">
        <w:t xml:space="preserve"> v </w:t>
      </w:r>
      <w:r w:rsidRPr="00E22D77">
        <w:t>rámci ktorých sa schvaľuje väčšina kontrol vývozu EÚ, sú Austrálska skupina, Režim kontroly raketových technológií, Skupina jadrových dodávateľov</w:t>
      </w:r>
      <w:r w:rsidR="00E22D77">
        <w:t xml:space="preserve"> a </w:t>
      </w:r>
      <w:r w:rsidRPr="00E22D77">
        <w:t>Wassenaarské usporiadanie. EÚ je členom jedného</w:t>
      </w:r>
      <w:r w:rsidR="00E22D77">
        <w:t xml:space="preserve"> z </w:t>
      </w:r>
      <w:r w:rsidRPr="00E22D77">
        <w:t>existujúcich multilaterálnych kontrolných režimov vývozu – Austrálskej skupiny –</w:t>
      </w:r>
      <w:r w:rsidR="00E22D77">
        <w:t xml:space="preserve"> a </w:t>
      </w:r>
      <w:r w:rsidRPr="00E22D77">
        <w:t>pozorovateľom</w:t>
      </w:r>
      <w:r w:rsidR="00E22D77">
        <w:t xml:space="preserve"> v </w:t>
      </w:r>
      <w:r w:rsidRPr="00E22D77">
        <w:t>Skupine jadrových dodávateľov.</w:t>
      </w:r>
    </w:p>
  </w:footnote>
  <w:footnote w:id="4">
    <w:p w14:paraId="15CF7680" w14:textId="5346BB99" w:rsidR="000A37D7" w:rsidRPr="00E22D77" w:rsidRDefault="000A37D7" w:rsidP="00E22D77">
      <w:pPr>
        <w:pStyle w:val="Textpoznmkypodiarou"/>
        <w:spacing w:after="0"/>
        <w:ind w:left="709" w:hanging="709"/>
      </w:pPr>
      <w:r w:rsidRPr="00E22D77">
        <w:rPr>
          <w:rStyle w:val="Odkaznapoznmkupodiarou"/>
        </w:rPr>
        <w:footnoteRef/>
      </w:r>
      <w:r w:rsidRPr="00E22D77">
        <w:tab/>
      </w:r>
      <w:bookmarkStart w:id="4" w:name="_Hlk151730402"/>
      <w:r w:rsidRPr="00E22D77">
        <w:t>Nariadenie Európskeho parlamentu</w:t>
      </w:r>
      <w:r w:rsidR="00E22D77">
        <w:t xml:space="preserve"> a </w:t>
      </w:r>
      <w:r w:rsidRPr="00E22D77">
        <w:t>Rady (EÚ) 2021/821</w:t>
      </w:r>
      <w:r w:rsidR="00E22D77">
        <w:t xml:space="preserve"> z </w:t>
      </w:r>
      <w:r w:rsidRPr="00E22D77">
        <w:t>20</w:t>
      </w:r>
      <w:r w:rsidR="00E22D77">
        <w:t>. mája</w:t>
      </w:r>
      <w:r w:rsidRPr="00E22D77">
        <w:t xml:space="preserve"> 2021, ktorým sa stanovuje režim Únie na kontrolu vývozov, sprostredkovania, technickej pomoci, tranzitu</w:t>
      </w:r>
      <w:r w:rsidR="00E22D77">
        <w:t xml:space="preserve"> a </w:t>
      </w:r>
      <w:r w:rsidRPr="00E22D77">
        <w:t>transferu položiek</w:t>
      </w:r>
      <w:r w:rsidR="00E22D77">
        <w:t xml:space="preserve"> s </w:t>
      </w:r>
      <w:r w:rsidRPr="00E22D77">
        <w:t>dvojakým použitím (Ú. v. EÚ L 206, 11.6.2021, s. 1 – 461).</w:t>
      </w:r>
      <w:bookmarkEnd w:id="4"/>
    </w:p>
  </w:footnote>
  <w:footnote w:id="5">
    <w:p w14:paraId="528A26B0" w14:textId="3A28F405" w:rsidR="00290362" w:rsidRPr="00E22D77" w:rsidRDefault="00290362" w:rsidP="00E22D77">
      <w:pPr>
        <w:pStyle w:val="Textpoznmkypodiarou"/>
        <w:spacing w:after="0"/>
        <w:ind w:left="709" w:hanging="709"/>
      </w:pPr>
      <w:r w:rsidRPr="00E22D77">
        <w:rPr>
          <w:rStyle w:val="Odkaznapoznmkupodiarou"/>
        </w:rPr>
        <w:footnoteRef/>
      </w:r>
      <w:r w:rsidRPr="00E22D77">
        <w:tab/>
        <w:t>Spoločné oznámenie Európskemu parlamentu, Európskej rade</w:t>
      </w:r>
      <w:r w:rsidR="00E22D77">
        <w:t xml:space="preserve"> a </w:t>
      </w:r>
      <w:r w:rsidRPr="00E22D77">
        <w:t>Rade</w:t>
      </w:r>
      <w:r w:rsidR="00E22D77">
        <w:t xml:space="preserve"> o </w:t>
      </w:r>
      <w:r w:rsidRPr="00E22D77">
        <w:t>Európskej stratégii hospodárskej bezpečnosti [JOIN(2023) 20 final].</w:t>
      </w:r>
    </w:p>
  </w:footnote>
  <w:footnote w:id="6">
    <w:p w14:paraId="0764F205" w14:textId="0AB19621" w:rsidR="000A37D7" w:rsidRPr="00E22D77" w:rsidRDefault="000A37D7" w:rsidP="00E22D77">
      <w:pPr>
        <w:pStyle w:val="Textpoznmkypodiarou"/>
        <w:spacing w:after="0"/>
        <w:ind w:left="709" w:hanging="709"/>
        <w:rPr>
          <w:spacing w:val="-4"/>
        </w:rPr>
      </w:pPr>
      <w:r w:rsidRPr="00E22D77">
        <w:rPr>
          <w:rStyle w:val="Odkaznapoznmkupodiarou"/>
        </w:rPr>
        <w:footnoteRef/>
      </w:r>
      <w:r w:rsidRPr="00E22D77">
        <w:tab/>
      </w:r>
      <w:r w:rsidRPr="00E22D77">
        <w:rPr>
          <w:spacing w:val="-4"/>
        </w:rPr>
        <w:t>Pozri Odporúčanie Komisie (EÚ) 2021/1700</w:t>
      </w:r>
      <w:r w:rsidR="00E22D77" w:rsidRPr="00E22D77">
        <w:rPr>
          <w:spacing w:val="-4"/>
        </w:rPr>
        <w:t xml:space="preserve"> o </w:t>
      </w:r>
      <w:r w:rsidRPr="00E22D77">
        <w:rPr>
          <w:spacing w:val="-4"/>
        </w:rPr>
        <w:t>interných programoch dodržiavania pravidiel, pokiaľ ide</w:t>
      </w:r>
      <w:r w:rsidR="00E22D77" w:rsidRPr="00E22D77">
        <w:rPr>
          <w:spacing w:val="-4"/>
        </w:rPr>
        <w:t xml:space="preserve"> o </w:t>
      </w:r>
      <w:r w:rsidRPr="00E22D77">
        <w:rPr>
          <w:spacing w:val="-4"/>
        </w:rPr>
        <w:t>kontroly výskumu zahŕňajúceho položky</w:t>
      </w:r>
      <w:r w:rsidR="00E22D77" w:rsidRPr="00E22D77">
        <w:rPr>
          <w:spacing w:val="-4"/>
        </w:rPr>
        <w:t xml:space="preserve"> s </w:t>
      </w:r>
      <w:r w:rsidRPr="00E22D77">
        <w:rPr>
          <w:spacing w:val="-4"/>
        </w:rPr>
        <w:t>dvojakým použitím podľa nariadenia (Ú. v. EÚ L 338, 23.9.2021, s. 1 – 52)</w:t>
      </w:r>
      <w:r w:rsidR="00E22D77" w:rsidRPr="00E22D77">
        <w:rPr>
          <w:spacing w:val="-4"/>
        </w:rPr>
        <w:t xml:space="preserve"> a </w:t>
      </w:r>
      <w:r w:rsidRPr="00E22D77">
        <w:rPr>
          <w:spacing w:val="-4"/>
        </w:rPr>
        <w:t>Odporúčanie Komisie (EÚ) 2019/1318</w:t>
      </w:r>
      <w:r w:rsidR="00E22D77" w:rsidRPr="00E22D77">
        <w:rPr>
          <w:spacing w:val="-4"/>
        </w:rPr>
        <w:t xml:space="preserve"> o </w:t>
      </w:r>
      <w:r w:rsidRPr="00E22D77">
        <w:rPr>
          <w:spacing w:val="-4"/>
        </w:rPr>
        <w:t>interných programoch dodržiavania pravidiel, pokiaľ ide</w:t>
      </w:r>
      <w:r w:rsidR="00E22D77" w:rsidRPr="00E22D77">
        <w:rPr>
          <w:spacing w:val="-4"/>
        </w:rPr>
        <w:t xml:space="preserve"> o </w:t>
      </w:r>
      <w:r w:rsidRPr="00E22D77">
        <w:rPr>
          <w:spacing w:val="-4"/>
        </w:rPr>
        <w:t>kontroly obchodovania</w:t>
      </w:r>
      <w:r w:rsidR="00E22D77" w:rsidRPr="00E22D77">
        <w:rPr>
          <w:spacing w:val="-4"/>
        </w:rPr>
        <w:t xml:space="preserve"> s </w:t>
      </w:r>
      <w:r w:rsidRPr="00E22D77">
        <w:rPr>
          <w:spacing w:val="-4"/>
        </w:rPr>
        <w:t>položkami</w:t>
      </w:r>
      <w:r w:rsidR="00E22D77" w:rsidRPr="00E22D77">
        <w:rPr>
          <w:spacing w:val="-4"/>
        </w:rPr>
        <w:t xml:space="preserve"> s </w:t>
      </w:r>
      <w:r w:rsidRPr="00E22D77">
        <w:rPr>
          <w:spacing w:val="-4"/>
        </w:rPr>
        <w:t>dvojakým použitím (Ú. v. EÚ L 205, 5.8.2019, s. 15 – 32). Komisia</w:t>
      </w:r>
      <w:r w:rsidR="00E22D77" w:rsidRPr="00E22D77">
        <w:rPr>
          <w:spacing w:val="-4"/>
        </w:rPr>
        <w:t xml:space="preserve"> a </w:t>
      </w:r>
      <w:r w:rsidRPr="00E22D77">
        <w:rPr>
          <w:spacing w:val="-4"/>
        </w:rPr>
        <w:t>členské štáty pokračujú</w:t>
      </w:r>
      <w:r w:rsidR="00E22D77" w:rsidRPr="00E22D77">
        <w:rPr>
          <w:spacing w:val="-4"/>
        </w:rPr>
        <w:t xml:space="preserve"> v </w:t>
      </w:r>
      <w:r w:rsidRPr="00E22D77">
        <w:rPr>
          <w:spacing w:val="-4"/>
        </w:rPr>
        <w:t>práci na účinnejšom vykonávaní kontrol transferov nehmotného majetku</w:t>
      </w:r>
      <w:r w:rsidR="00E22D77" w:rsidRPr="00E22D77">
        <w:rPr>
          <w:spacing w:val="-4"/>
        </w:rPr>
        <w:t xml:space="preserve"> a </w:t>
      </w:r>
      <w:r w:rsidRPr="00E22D77">
        <w:rPr>
          <w:spacing w:val="-4"/>
        </w:rPr>
        <w:t>technológií. Usmernenia</w:t>
      </w:r>
      <w:r w:rsidR="00E22D77" w:rsidRPr="00E22D77">
        <w:rPr>
          <w:spacing w:val="-4"/>
        </w:rPr>
        <w:t xml:space="preserve"> o </w:t>
      </w:r>
      <w:r w:rsidRPr="00E22D77">
        <w:rPr>
          <w:spacing w:val="-4"/>
        </w:rPr>
        <w:t>zbere údajov</w:t>
      </w:r>
      <w:r w:rsidR="00E22D77" w:rsidRPr="00E22D77">
        <w:rPr>
          <w:spacing w:val="-4"/>
        </w:rPr>
        <w:t xml:space="preserve"> a </w:t>
      </w:r>
      <w:r w:rsidRPr="00E22D77">
        <w:rPr>
          <w:spacing w:val="-4"/>
        </w:rPr>
        <w:t>transparentnosti sa majú uverejniť začiatkom roka 2024.</w:t>
      </w:r>
    </w:p>
  </w:footnote>
  <w:footnote w:id="7">
    <w:p w14:paraId="46A556A0" w14:textId="6901116D" w:rsidR="000A37D7" w:rsidRPr="00E22D77" w:rsidRDefault="000A37D7" w:rsidP="00E22D77">
      <w:pPr>
        <w:pStyle w:val="Textpoznmkypodiarou"/>
        <w:spacing w:after="0"/>
        <w:ind w:left="709" w:hanging="709"/>
      </w:pPr>
      <w:r w:rsidRPr="00E22D77">
        <w:rPr>
          <w:rStyle w:val="Odkaznapoznmkupodiarou"/>
        </w:rPr>
        <w:footnoteRef/>
      </w:r>
      <w:r w:rsidRPr="00E22D77">
        <w:tab/>
        <w:t>Usmernenia</w:t>
      </w:r>
      <w:r w:rsidR="00E22D77">
        <w:t xml:space="preserve"> o </w:t>
      </w:r>
      <w:r w:rsidRPr="00E22D77">
        <w:t>vývoze položiek kybernetického dohľadu budú uverejnené</w:t>
      </w:r>
      <w:r w:rsidR="00E22D77">
        <w:t xml:space="preserve"> v </w:t>
      </w:r>
      <w:r w:rsidRPr="00E22D77">
        <w:t>prvom štvrťroku 2024. Obavy</w:t>
      </w:r>
      <w:r w:rsidR="00E22D77">
        <w:t xml:space="preserve"> z </w:t>
      </w:r>
      <w:r w:rsidRPr="00E22D77">
        <w:t>používania položiek kybernetického dohľadu napríklad viedli Európsky parlament</w:t>
      </w:r>
      <w:r w:rsidR="00E22D77">
        <w:t xml:space="preserve"> k </w:t>
      </w:r>
      <w:r w:rsidRPr="00E22D77">
        <w:t>zriadeniu osobitného výboru (vyšetrovací výbor Pegasus), ktorý</w:t>
      </w:r>
      <w:r w:rsidR="00E22D77">
        <w:t xml:space="preserve"> v </w:t>
      </w:r>
      <w:r w:rsidRPr="00E22D77">
        <w:t>júni 2023 prijal uznesenie,</w:t>
      </w:r>
      <w:r w:rsidR="00E22D77">
        <w:t xml:space="preserve"> v </w:t>
      </w:r>
      <w:r w:rsidRPr="00E22D77">
        <w:t>ktorom sa tiež zdôraznila potreba ďalšieho posilnenia kontrol vývozu položiek kybernetického dohľadu podľa nariadenia</w:t>
      </w:r>
      <w:r w:rsidR="00E22D77">
        <w:t xml:space="preserve"> o </w:t>
      </w:r>
      <w:r w:rsidRPr="00E22D77">
        <w:t>položkách</w:t>
      </w:r>
      <w:r w:rsidR="00E22D77">
        <w:t xml:space="preserve"> s </w:t>
      </w:r>
      <w:r w:rsidRPr="00E22D77">
        <w:t>dvojakým použitím.</w:t>
      </w:r>
    </w:p>
  </w:footnote>
  <w:footnote w:id="8">
    <w:p w14:paraId="5F8646D2" w14:textId="6BB77C0F" w:rsidR="000A37D7" w:rsidRPr="00E22D77" w:rsidRDefault="000A37D7" w:rsidP="00E22D77">
      <w:pPr>
        <w:pStyle w:val="Textpoznmkypodiarou"/>
        <w:spacing w:after="0"/>
        <w:ind w:left="709" w:hanging="709"/>
        <w:rPr>
          <w:spacing w:val="-4"/>
        </w:rPr>
      </w:pPr>
      <w:r w:rsidRPr="00E22D77">
        <w:rPr>
          <w:rStyle w:val="Odkaznapoznmkupodiarou"/>
        </w:rPr>
        <w:footnoteRef/>
      </w:r>
      <w:r w:rsidRPr="00E22D77">
        <w:tab/>
      </w:r>
      <w:r w:rsidRPr="00E22D77">
        <w:rPr>
          <w:spacing w:val="-4"/>
        </w:rPr>
        <w:t>Medzi ďalšie opatrenia prijaté Komisiou</w:t>
      </w:r>
      <w:r w:rsidR="00E22D77" w:rsidRPr="00E22D77">
        <w:rPr>
          <w:spacing w:val="-4"/>
        </w:rPr>
        <w:t xml:space="preserve"> a </w:t>
      </w:r>
      <w:r w:rsidRPr="00E22D77">
        <w:rPr>
          <w:spacing w:val="-4"/>
        </w:rPr>
        <w:t>členskými štátmi patria: i) zriadenie expertnej skupiny pre vznikajúce technológie (ETEG) na výmenu informácií</w:t>
      </w:r>
      <w:r w:rsidR="00E22D77" w:rsidRPr="00E22D77">
        <w:rPr>
          <w:spacing w:val="-4"/>
        </w:rPr>
        <w:t xml:space="preserve"> s </w:t>
      </w:r>
      <w:r w:rsidRPr="00E22D77">
        <w:rPr>
          <w:spacing w:val="-4"/>
        </w:rPr>
        <w:t>členskými štátmi</w:t>
      </w:r>
      <w:r w:rsidR="00E22D77" w:rsidRPr="00E22D77">
        <w:rPr>
          <w:spacing w:val="-4"/>
        </w:rPr>
        <w:t xml:space="preserve"> o </w:t>
      </w:r>
      <w:r w:rsidRPr="00E22D77">
        <w:rPr>
          <w:spacing w:val="-4"/>
        </w:rPr>
        <w:t>hodnoteniach rizík pre vznikajúce technológie; ii) zriadenie mechanizmu koordinácie presadzovania práva na podporu práce vnútroštátnych orgánov presadzovania práva</w:t>
      </w:r>
      <w:r w:rsidR="00E22D77" w:rsidRPr="00E22D77">
        <w:rPr>
          <w:spacing w:val="-4"/>
        </w:rPr>
        <w:t xml:space="preserve"> v </w:t>
      </w:r>
      <w:r w:rsidRPr="00E22D77">
        <w:rPr>
          <w:spacing w:val="-4"/>
        </w:rPr>
        <w:t>celej EÚ; iii) vývoj elektronického systému pre položky</w:t>
      </w:r>
      <w:r w:rsidR="00E22D77" w:rsidRPr="00E22D77">
        <w:rPr>
          <w:spacing w:val="-4"/>
        </w:rPr>
        <w:t xml:space="preserve"> s </w:t>
      </w:r>
      <w:r w:rsidRPr="00E22D77">
        <w:rPr>
          <w:spacing w:val="-4"/>
        </w:rPr>
        <w:t>dvojakým použitím (DUeS)</w:t>
      </w:r>
      <w:r w:rsidR="00E22D77" w:rsidRPr="00E22D77">
        <w:rPr>
          <w:spacing w:val="-4"/>
        </w:rPr>
        <w:t xml:space="preserve"> s </w:t>
      </w:r>
      <w:r w:rsidRPr="00E22D77">
        <w:rPr>
          <w:spacing w:val="-4"/>
        </w:rPr>
        <w:t>cieľom zlepšiť výmenu informácií medzi príslušnými útvarmi Komisie</w:t>
      </w:r>
      <w:r w:rsidR="00E22D77" w:rsidRPr="00E22D77">
        <w:rPr>
          <w:spacing w:val="-4"/>
        </w:rPr>
        <w:t xml:space="preserve"> a </w:t>
      </w:r>
      <w:r w:rsidRPr="00E22D77">
        <w:rPr>
          <w:spacing w:val="-4"/>
        </w:rPr>
        <w:t>členských štátov</w:t>
      </w:r>
      <w:r w:rsidR="00E22D77" w:rsidRPr="00E22D77">
        <w:rPr>
          <w:spacing w:val="-4"/>
        </w:rPr>
        <w:t xml:space="preserve"> a </w:t>
      </w:r>
      <w:r w:rsidRPr="00E22D77">
        <w:rPr>
          <w:spacing w:val="-4"/>
        </w:rPr>
        <w:t>iv) posilnenie poskytovania informácií priemyselným odvetviam</w:t>
      </w:r>
      <w:r w:rsidR="00E22D77" w:rsidRPr="00E22D77">
        <w:rPr>
          <w:spacing w:val="-4"/>
        </w:rPr>
        <w:t xml:space="preserve"> a </w:t>
      </w:r>
      <w:r w:rsidRPr="00E22D77">
        <w:rPr>
          <w:spacing w:val="-4"/>
        </w:rPr>
        <w:t>dodržiavania predpisov</w:t>
      </w:r>
      <w:r w:rsidR="00E22D77" w:rsidRPr="00E22D77">
        <w:rPr>
          <w:spacing w:val="-4"/>
        </w:rPr>
        <w:t xml:space="preserve"> v </w:t>
      </w:r>
      <w:r w:rsidRPr="00E22D77">
        <w:rPr>
          <w:spacing w:val="-4"/>
        </w:rPr>
        <w:t xml:space="preserve">rámci partnerstva so súkromným sektorom, napr. prostredníctvom organizovania pravidelného </w:t>
      </w:r>
      <w:hyperlink r:id="rId1" w:history="1">
        <w:r w:rsidRPr="00E22D77">
          <w:rPr>
            <w:spacing w:val="-4"/>
          </w:rPr>
          <w:t>fóra</w:t>
        </w:r>
        <w:r w:rsidR="00E22D77" w:rsidRPr="00E22D77">
          <w:rPr>
            <w:spacing w:val="-4"/>
          </w:rPr>
          <w:t xml:space="preserve"> o </w:t>
        </w:r>
        <w:r w:rsidRPr="00E22D77">
          <w:rPr>
            <w:spacing w:val="-4"/>
          </w:rPr>
          <w:t>kontrole vývozu</w:t>
        </w:r>
      </w:hyperlink>
      <w:r w:rsidRPr="00E22D77">
        <w:rPr>
          <w:spacing w:val="-4"/>
        </w:rPr>
        <w:t>.</w:t>
      </w:r>
    </w:p>
  </w:footnote>
  <w:footnote w:id="9">
    <w:p w14:paraId="3D57DB67" w14:textId="128E835A" w:rsidR="000A37D7" w:rsidRPr="00E22D77" w:rsidRDefault="000A37D7" w:rsidP="00E22D77">
      <w:pPr>
        <w:pStyle w:val="Textpoznmkypodiarou"/>
        <w:spacing w:after="0"/>
        <w:ind w:left="709" w:hanging="709"/>
        <w:rPr>
          <w:spacing w:val="-4"/>
        </w:rPr>
      </w:pPr>
      <w:r w:rsidRPr="00E22D77">
        <w:rPr>
          <w:rStyle w:val="Odkaznapoznmkupodiarou"/>
          <w:spacing w:val="-4"/>
        </w:rPr>
        <w:footnoteRef/>
      </w:r>
      <w:r w:rsidRPr="00E22D77">
        <w:rPr>
          <w:spacing w:val="-4"/>
        </w:rPr>
        <w:tab/>
        <w:t>Európsky súdny dvor vo veci Leifer potvrdil, že pravidlá, ktorých účinkom je zabrániť vývozu určitých výrobkov alebo ho obmedziť, patria do rozsahu pôsobnosti spoločnej obchodnej politiky</w:t>
      </w:r>
      <w:r w:rsidR="00E22D77" w:rsidRPr="00E22D77">
        <w:rPr>
          <w:spacing w:val="-4"/>
        </w:rPr>
        <w:t xml:space="preserve"> a </w:t>
      </w:r>
      <w:r w:rsidRPr="00E22D77">
        <w:rPr>
          <w:spacing w:val="-4"/>
        </w:rPr>
        <w:t>že skutočnosť, že obmedzenie sa týka tovaru</w:t>
      </w:r>
      <w:r w:rsidR="00E22D77" w:rsidRPr="00E22D77">
        <w:rPr>
          <w:spacing w:val="-4"/>
        </w:rPr>
        <w:t xml:space="preserve"> s </w:t>
      </w:r>
      <w:r w:rsidRPr="00E22D77">
        <w:rPr>
          <w:spacing w:val="-4"/>
        </w:rPr>
        <w:t>dvojakým použitím, nemá vplyv na tento záver, keďže povaha týchto výrobkov ich nemôže vylúčiť</w:t>
      </w:r>
      <w:r w:rsidR="00E22D77" w:rsidRPr="00E22D77">
        <w:rPr>
          <w:spacing w:val="-4"/>
        </w:rPr>
        <w:t xml:space="preserve"> z </w:t>
      </w:r>
      <w:r w:rsidRPr="00E22D77">
        <w:rPr>
          <w:spacing w:val="-4"/>
        </w:rPr>
        <w:t>rozsahu pôsobnosti spoločnej obchodnej politiky (rozsudok Súdneho dvora zo 17</w:t>
      </w:r>
      <w:r w:rsidR="00E22D77" w:rsidRPr="00E22D77">
        <w:rPr>
          <w:spacing w:val="-4"/>
        </w:rPr>
        <w:t>. októbra</w:t>
      </w:r>
      <w:r w:rsidRPr="00E22D77">
        <w:rPr>
          <w:spacing w:val="-4"/>
        </w:rPr>
        <w:t xml:space="preserve"> 1995, trestné konanie proti Petrovi Leiferovi, Reinholdovi Otto Krauskopfovi</w:t>
      </w:r>
      <w:r w:rsidR="00E22D77" w:rsidRPr="00E22D77">
        <w:rPr>
          <w:spacing w:val="-4"/>
        </w:rPr>
        <w:t xml:space="preserve"> a </w:t>
      </w:r>
      <w:r w:rsidRPr="00E22D77">
        <w:rPr>
          <w:spacing w:val="-4"/>
        </w:rPr>
        <w:t>Otto Holzerovi, C-83/94, ECLI:EU:C:1995:329, body 10 až 11). Vo veci Werner Súdny dvor potvrdil tieto zistenia</w:t>
      </w:r>
      <w:r w:rsidR="00E22D77" w:rsidRPr="00E22D77">
        <w:rPr>
          <w:spacing w:val="-4"/>
        </w:rPr>
        <w:t xml:space="preserve"> a </w:t>
      </w:r>
      <w:r w:rsidRPr="00E22D77">
        <w:rPr>
          <w:spacing w:val="-4"/>
        </w:rPr>
        <w:t>ďalej vysvetlil, že opatrenie, ktorého účinkom je zabrániť vývozu určitých výrobkov alebo ho obmedziť, nemožno považovať za opatrenie, ktoré nepatrí do pôsobnosti spoločnej obchodnej politiky</w:t>
      </w:r>
      <w:r w:rsidR="00E22D77" w:rsidRPr="00E22D77">
        <w:rPr>
          <w:spacing w:val="-4"/>
        </w:rPr>
        <w:t xml:space="preserve"> z </w:t>
      </w:r>
      <w:r w:rsidRPr="00E22D77">
        <w:rPr>
          <w:spacing w:val="-4"/>
        </w:rPr>
        <w:t>dôvodu, že sleduje ciele zahraničnej politiky</w:t>
      </w:r>
      <w:r w:rsidR="00E22D77" w:rsidRPr="00E22D77">
        <w:rPr>
          <w:spacing w:val="-4"/>
        </w:rPr>
        <w:t xml:space="preserve"> a </w:t>
      </w:r>
      <w:r w:rsidRPr="00E22D77">
        <w:rPr>
          <w:spacing w:val="-4"/>
        </w:rPr>
        <w:t>bezpečnosti (rozsudok Súdneho dvora zo 17</w:t>
      </w:r>
      <w:r w:rsidR="00E22D77" w:rsidRPr="00E22D77">
        <w:rPr>
          <w:spacing w:val="-4"/>
        </w:rPr>
        <w:t>. októbra</w:t>
      </w:r>
      <w:r w:rsidRPr="00E22D77">
        <w:rPr>
          <w:spacing w:val="-4"/>
        </w:rPr>
        <w:t xml:space="preserve"> 1995, Fritz Werner Industrie-Ausrüstungen GmbH/Spolková republika Nemecko, C-70/94, ECLI:EU:C:1995:328, bod 10).</w:t>
      </w:r>
    </w:p>
  </w:footnote>
  <w:footnote w:id="10">
    <w:p w14:paraId="6E88D495" w14:textId="5C2B5F49" w:rsidR="000A37D7" w:rsidRPr="00E22D77" w:rsidRDefault="000A37D7" w:rsidP="00E22D77">
      <w:pPr>
        <w:pStyle w:val="Textpoznmkypodiarou"/>
        <w:spacing w:after="0"/>
        <w:ind w:left="709" w:hanging="709"/>
        <w:rPr>
          <w:spacing w:val="-6"/>
        </w:rPr>
      </w:pPr>
      <w:r w:rsidRPr="00E22D77">
        <w:rPr>
          <w:rStyle w:val="Odkaznapoznmkupodiarou"/>
        </w:rPr>
        <w:footnoteRef/>
      </w:r>
      <w:r w:rsidRPr="00E22D77">
        <w:tab/>
      </w:r>
      <w:r w:rsidRPr="00E22D77">
        <w:rPr>
          <w:spacing w:val="-6"/>
        </w:rPr>
        <w:t xml:space="preserve">Wolf, K., </w:t>
      </w:r>
      <w:r w:rsidRPr="00E22D77">
        <w:rPr>
          <w:i/>
          <w:iCs/>
          <w:spacing w:val="-6"/>
        </w:rPr>
        <w:t>Testimony before the Senate Committee on Banking, Housing and Urban Affairs „Advancing National Security and Foreign Policy Through sanctions, Export Controls, and Other Economic Tools“</w:t>
      </w:r>
      <w:r w:rsidRPr="00E22D77">
        <w:rPr>
          <w:spacing w:val="-6"/>
        </w:rPr>
        <w:t xml:space="preserve"> (Výpoveď pred výborom Senátu pre bankovníctvo, bývanie</w:t>
      </w:r>
      <w:r w:rsidR="00E22D77" w:rsidRPr="00E22D77">
        <w:rPr>
          <w:spacing w:val="-6"/>
        </w:rPr>
        <w:t xml:space="preserve"> a </w:t>
      </w:r>
      <w:r w:rsidRPr="00E22D77">
        <w:rPr>
          <w:spacing w:val="-6"/>
        </w:rPr>
        <w:t>urbanistické záležitosti „Pokrok</w:t>
      </w:r>
      <w:r w:rsidR="00E22D77" w:rsidRPr="00E22D77">
        <w:rPr>
          <w:spacing w:val="-6"/>
        </w:rPr>
        <w:t xml:space="preserve"> v </w:t>
      </w:r>
      <w:r w:rsidRPr="00E22D77">
        <w:rPr>
          <w:spacing w:val="-6"/>
        </w:rPr>
        <w:t>národnej bezpečnosti</w:t>
      </w:r>
      <w:r w:rsidR="00E22D77" w:rsidRPr="00E22D77">
        <w:rPr>
          <w:spacing w:val="-6"/>
        </w:rPr>
        <w:t xml:space="preserve"> a </w:t>
      </w:r>
      <w:r w:rsidRPr="00E22D77">
        <w:rPr>
          <w:spacing w:val="-6"/>
        </w:rPr>
        <w:t>zahraničnej politike prostredníctvom sankcií, kontrol vývozu</w:t>
      </w:r>
      <w:r w:rsidR="00E22D77" w:rsidRPr="00E22D77">
        <w:rPr>
          <w:spacing w:val="-6"/>
        </w:rPr>
        <w:t xml:space="preserve"> a </w:t>
      </w:r>
      <w:r w:rsidRPr="00E22D77">
        <w:rPr>
          <w:spacing w:val="-6"/>
        </w:rPr>
        <w:t>iných ekonomických nástrojov“) 2023, s. 13. Pozri aj Chorzempa, M</w:t>
      </w:r>
      <w:r w:rsidR="00E22D77" w:rsidRPr="00E22D77">
        <w:rPr>
          <w:spacing w:val="-6"/>
        </w:rPr>
        <w:t>. a </w:t>
      </w:r>
      <w:r w:rsidRPr="00E22D77">
        <w:rPr>
          <w:spacing w:val="-6"/>
        </w:rPr>
        <w:t>von Daniels, L., „</w:t>
      </w:r>
      <w:r w:rsidRPr="00E22D77">
        <w:rPr>
          <w:i/>
          <w:iCs/>
          <w:spacing w:val="-6"/>
        </w:rPr>
        <w:t>New US Export Controls: Key Policy Choices for Europe</w:t>
      </w:r>
      <w:r w:rsidRPr="00E22D77">
        <w:rPr>
          <w:spacing w:val="-6"/>
        </w:rPr>
        <w:t xml:space="preserve">“ (Nové kontroly vývozu USA: kľúčové možnosti politík pre Európu), </w:t>
      </w:r>
      <w:r w:rsidRPr="00E22D77">
        <w:rPr>
          <w:i/>
          <w:spacing w:val="-6"/>
        </w:rPr>
        <w:t xml:space="preserve">Stiftung Wissenschaft und Politik, </w:t>
      </w:r>
      <w:r w:rsidRPr="00E22D77">
        <w:rPr>
          <w:spacing w:val="-6"/>
        </w:rPr>
        <w:t>2023, p. 7.</w:t>
      </w:r>
    </w:p>
  </w:footnote>
  <w:footnote w:id="11">
    <w:p w14:paraId="125053FD" w14:textId="3C496790" w:rsidR="000A37D7" w:rsidRPr="00E22D77" w:rsidRDefault="000A37D7" w:rsidP="00E22D77">
      <w:pPr>
        <w:pStyle w:val="Textpoznmkypodiarou"/>
        <w:spacing w:after="0"/>
        <w:ind w:left="709" w:hanging="709"/>
        <w:rPr>
          <w:spacing w:val="-4"/>
        </w:rPr>
      </w:pPr>
      <w:r w:rsidRPr="00E22D77">
        <w:rPr>
          <w:rStyle w:val="Odkaznapoznmkupodiarou"/>
          <w:spacing w:val="-4"/>
        </w:rPr>
        <w:footnoteRef/>
      </w:r>
      <w:r w:rsidRPr="00E22D77">
        <w:rPr>
          <w:spacing w:val="-4"/>
        </w:rPr>
        <w:t xml:space="preserve"> </w:t>
      </w:r>
      <w:r w:rsidRPr="00E22D77">
        <w:rPr>
          <w:spacing w:val="-4"/>
        </w:rPr>
        <w:tab/>
        <w:t>Gehrke, T. and Ringhof, J., „</w:t>
      </w:r>
      <w:r w:rsidRPr="00E22D77">
        <w:rPr>
          <w:i/>
          <w:iCs/>
          <w:spacing w:val="-4"/>
        </w:rPr>
        <w:t>The power of control: How the EU can shape the new era of strategic export restrictions</w:t>
      </w:r>
      <w:r w:rsidRPr="00E22D77">
        <w:rPr>
          <w:spacing w:val="-4"/>
        </w:rPr>
        <w:t xml:space="preserve">“ (Sila kontroly: Ako môže EÚ formovať novú éru strategických vývozných obmedzení) </w:t>
      </w:r>
      <w:r w:rsidRPr="00E22D77">
        <w:rPr>
          <w:i/>
          <w:spacing w:val="-4"/>
        </w:rPr>
        <w:t>Európska rada pre zahraničné vzťahy</w:t>
      </w:r>
      <w:r w:rsidRPr="00E22D77">
        <w:rPr>
          <w:spacing w:val="-4"/>
        </w:rPr>
        <w:t>, 2023. Benson, E. and Putnam, M., „</w:t>
      </w:r>
      <w:r w:rsidRPr="00E22D77">
        <w:rPr>
          <w:i/>
          <w:iCs/>
          <w:spacing w:val="-4"/>
        </w:rPr>
        <w:t>Export Controls and Intangible Goods</w:t>
      </w:r>
      <w:r w:rsidRPr="00E22D77">
        <w:rPr>
          <w:spacing w:val="-4"/>
        </w:rPr>
        <w:t>“ (Kontroly vývozu</w:t>
      </w:r>
      <w:r w:rsidR="00E22D77" w:rsidRPr="00E22D77">
        <w:rPr>
          <w:spacing w:val="-4"/>
        </w:rPr>
        <w:t xml:space="preserve"> a </w:t>
      </w:r>
      <w:r w:rsidRPr="00E22D77">
        <w:rPr>
          <w:spacing w:val="-4"/>
        </w:rPr>
        <w:t xml:space="preserve">nehmotné tovary) </w:t>
      </w:r>
      <w:r w:rsidRPr="00E22D77">
        <w:rPr>
          <w:i/>
          <w:spacing w:val="-4"/>
        </w:rPr>
        <w:t>Center for Strategic and International Studies</w:t>
      </w:r>
      <w:r w:rsidRPr="00E22D77">
        <w:rPr>
          <w:spacing w:val="-4"/>
        </w:rPr>
        <w:t>, 2023.</w:t>
      </w:r>
    </w:p>
  </w:footnote>
  <w:footnote w:id="12">
    <w:p w14:paraId="2EB2CE21" w14:textId="713BBA9A" w:rsidR="000A37D7" w:rsidRPr="00E22D77" w:rsidRDefault="000A37D7" w:rsidP="00E22D77">
      <w:pPr>
        <w:pStyle w:val="Textpoznmkypodiarou"/>
        <w:spacing w:after="0"/>
        <w:ind w:left="709" w:hanging="709"/>
        <w:rPr>
          <w:spacing w:val="-6"/>
        </w:rPr>
      </w:pPr>
      <w:r w:rsidRPr="00E22D77">
        <w:rPr>
          <w:rStyle w:val="Odkaznapoznmkupodiarou"/>
        </w:rPr>
        <w:footnoteRef/>
      </w:r>
      <w:r w:rsidRPr="00E22D77">
        <w:tab/>
      </w:r>
      <w:r w:rsidRPr="00E22D77">
        <w:rPr>
          <w:spacing w:val="-6"/>
        </w:rPr>
        <w:t xml:space="preserve">Wolf, K., </w:t>
      </w:r>
      <w:r w:rsidRPr="00E22D77">
        <w:rPr>
          <w:i/>
          <w:iCs/>
          <w:spacing w:val="-6"/>
        </w:rPr>
        <w:t>Testimony before the Senate Committee on Banking, Housing and Urban Affairs „Advancing National Security and Foreign Policy Through sanctions, Export Controls, and Other Economic Tools“</w:t>
      </w:r>
      <w:r w:rsidRPr="00E22D77">
        <w:rPr>
          <w:spacing w:val="-6"/>
        </w:rPr>
        <w:t xml:space="preserve"> (Výpoveď pred výborom Senátu pre bankovníctvo, bývanie</w:t>
      </w:r>
      <w:r w:rsidR="00E22D77" w:rsidRPr="00E22D77">
        <w:rPr>
          <w:spacing w:val="-6"/>
        </w:rPr>
        <w:t xml:space="preserve"> a </w:t>
      </w:r>
      <w:r w:rsidRPr="00E22D77">
        <w:rPr>
          <w:spacing w:val="-6"/>
        </w:rPr>
        <w:t>urbanistické záležitosti „Pokrok</w:t>
      </w:r>
      <w:r w:rsidR="00E22D77" w:rsidRPr="00E22D77">
        <w:rPr>
          <w:spacing w:val="-6"/>
        </w:rPr>
        <w:t xml:space="preserve"> v </w:t>
      </w:r>
      <w:r w:rsidRPr="00E22D77">
        <w:rPr>
          <w:spacing w:val="-6"/>
        </w:rPr>
        <w:t>národnej bezpečnosti</w:t>
      </w:r>
      <w:r w:rsidR="00E22D77" w:rsidRPr="00E22D77">
        <w:rPr>
          <w:spacing w:val="-6"/>
        </w:rPr>
        <w:t xml:space="preserve"> a </w:t>
      </w:r>
      <w:r w:rsidRPr="00E22D77">
        <w:rPr>
          <w:spacing w:val="-6"/>
        </w:rPr>
        <w:t>zahraničnej politike prostredníctvom sankcií, kontrol vývozu</w:t>
      </w:r>
      <w:r w:rsidR="00E22D77" w:rsidRPr="00E22D77">
        <w:rPr>
          <w:spacing w:val="-6"/>
        </w:rPr>
        <w:t xml:space="preserve"> a </w:t>
      </w:r>
      <w:r w:rsidRPr="00E22D77">
        <w:rPr>
          <w:spacing w:val="-6"/>
        </w:rPr>
        <w:t>iných ekonomických nástrojov“) 2023, s. 13.</w:t>
      </w:r>
    </w:p>
  </w:footnote>
  <w:footnote w:id="13">
    <w:p w14:paraId="57F33B23" w14:textId="6EFF7461" w:rsidR="005F56D9" w:rsidRPr="00E22D77" w:rsidRDefault="005F56D9" w:rsidP="00E22D77">
      <w:pPr>
        <w:pStyle w:val="Textpoznmkypodiarou"/>
        <w:spacing w:after="0"/>
        <w:ind w:left="709" w:hanging="709"/>
        <w:rPr>
          <w:spacing w:val="-4"/>
        </w:rPr>
      </w:pPr>
      <w:r w:rsidRPr="00E22D77">
        <w:rPr>
          <w:rStyle w:val="Odkaznapoznmkupodiarou"/>
        </w:rPr>
        <w:footnoteRef/>
      </w:r>
      <w:r w:rsidRPr="00E22D77">
        <w:tab/>
      </w:r>
      <w:r w:rsidRPr="00E22D77">
        <w:rPr>
          <w:spacing w:val="-4"/>
        </w:rPr>
        <w:t>Žiadosť Číny</w:t>
      </w:r>
      <w:r w:rsidR="00E22D77" w:rsidRPr="00E22D77">
        <w:rPr>
          <w:spacing w:val="-4"/>
        </w:rPr>
        <w:t xml:space="preserve"> o </w:t>
      </w:r>
      <w:r w:rsidRPr="00E22D77">
        <w:rPr>
          <w:spacing w:val="-4"/>
        </w:rPr>
        <w:t>konzultácie: Spojené štáty – Opatrenia týkajúce sa určitých polovodičov</w:t>
      </w:r>
      <w:r w:rsidR="00E22D77" w:rsidRPr="00E22D77">
        <w:rPr>
          <w:spacing w:val="-4"/>
        </w:rPr>
        <w:t xml:space="preserve"> a </w:t>
      </w:r>
      <w:r w:rsidRPr="00E22D77">
        <w:rPr>
          <w:spacing w:val="-4"/>
        </w:rPr>
        <w:t>iných výrobkov</w:t>
      </w:r>
      <w:r w:rsidR="00E22D77" w:rsidRPr="00E22D77">
        <w:rPr>
          <w:spacing w:val="-4"/>
        </w:rPr>
        <w:t xml:space="preserve"> a </w:t>
      </w:r>
      <w:r w:rsidRPr="00E22D77">
        <w:rPr>
          <w:spacing w:val="-4"/>
        </w:rPr>
        <w:t>súvisiacich služieb</w:t>
      </w:r>
      <w:r w:rsidR="00E22D77" w:rsidRPr="00E22D77">
        <w:rPr>
          <w:spacing w:val="-4"/>
        </w:rPr>
        <w:t xml:space="preserve"> a </w:t>
      </w:r>
      <w:r w:rsidRPr="00E22D77">
        <w:rPr>
          <w:spacing w:val="-4"/>
        </w:rPr>
        <w:t>technológií (WT/DS615/1, G/L/1471 S/L/438, G/TRIMS/D/46 IP/D/44).</w:t>
      </w:r>
    </w:p>
  </w:footnote>
  <w:footnote w:id="14">
    <w:p w14:paraId="2930A082" w14:textId="5BBD3B61" w:rsidR="005F56D9" w:rsidRPr="00E22D77" w:rsidRDefault="005F56D9" w:rsidP="00E22D77">
      <w:pPr>
        <w:pStyle w:val="Textpoznmkypodiarou"/>
        <w:spacing w:after="0"/>
        <w:ind w:left="709" w:hanging="709"/>
        <w:rPr>
          <w:spacing w:val="-4"/>
        </w:rPr>
      </w:pPr>
      <w:r w:rsidRPr="00E22D77">
        <w:rPr>
          <w:rStyle w:val="Odkaznapoznmkupodiarou"/>
        </w:rPr>
        <w:footnoteRef/>
      </w:r>
      <w:r w:rsidRPr="00E22D77">
        <w:tab/>
      </w:r>
      <w:r w:rsidRPr="00E22D77">
        <w:rPr>
          <w:spacing w:val="-4"/>
        </w:rPr>
        <w:t>Úrad priemyslu</w:t>
      </w:r>
      <w:r w:rsidR="00E22D77" w:rsidRPr="00E22D77">
        <w:rPr>
          <w:spacing w:val="-4"/>
        </w:rPr>
        <w:t xml:space="preserve"> a </w:t>
      </w:r>
      <w:r w:rsidRPr="00E22D77">
        <w:rPr>
          <w:spacing w:val="-4"/>
        </w:rPr>
        <w:t>bezpečnosti, Ministerstvo obchodu USA, „</w:t>
      </w:r>
      <w:r w:rsidRPr="00E22D77">
        <w:rPr>
          <w:i/>
          <w:iCs/>
          <w:spacing w:val="-4"/>
        </w:rPr>
        <w:t>Commerce Strengthens Restrictions on Advanced Computing Semiconductors, Semiconductor Manufacturing Equipment, and Supercomputing Items to Countries of Concern</w:t>
      </w:r>
      <w:r w:rsidRPr="00E22D77">
        <w:rPr>
          <w:spacing w:val="-4"/>
        </w:rPr>
        <w:t>“ (Ministerstvo obchodu posilňuje obmedzenia na pokročilé počítačové polovodiče, zariadenia na výrobu polovodičov</w:t>
      </w:r>
      <w:r w:rsidR="00E22D77" w:rsidRPr="00E22D77">
        <w:rPr>
          <w:spacing w:val="-4"/>
        </w:rPr>
        <w:t xml:space="preserve"> a </w:t>
      </w:r>
      <w:r w:rsidRPr="00E22D77">
        <w:rPr>
          <w:spacing w:val="-4"/>
        </w:rPr>
        <w:t>superpočítačové položky pre krajiny pôsobiace obavy), tlačová správa zo 17</w:t>
      </w:r>
      <w:r w:rsidR="00E22D77" w:rsidRPr="00E22D77">
        <w:rPr>
          <w:spacing w:val="-4"/>
        </w:rPr>
        <w:t>. októbra</w:t>
      </w:r>
      <w:r w:rsidRPr="00E22D77">
        <w:rPr>
          <w:spacing w:val="-4"/>
        </w:rPr>
        <w:t xml:space="preserve"> 2023,</w:t>
      </w:r>
      <w:r w:rsidR="00E22D77" w:rsidRPr="00E22D77">
        <w:rPr>
          <w:spacing w:val="-4"/>
        </w:rPr>
        <w:t xml:space="preserve"> k </w:t>
      </w:r>
      <w:r w:rsidRPr="00E22D77">
        <w:rPr>
          <w:spacing w:val="-4"/>
        </w:rPr>
        <w:t xml:space="preserve">dispozícii na adrese:  </w:t>
      </w:r>
      <w:hyperlink r:id="rId2" w:history="1">
        <w:r w:rsidRPr="00E22D77">
          <w:rPr>
            <w:rStyle w:val="Hypertextovprepojenie"/>
            <w:spacing w:val="-4"/>
          </w:rPr>
          <w:t>https://www.bis.doc.gov/index.php/documents/about-bis/newsroom/press-releases/3355-2023-10-17-bis-press-release-acs-and-sme-rules-final-js/file</w:t>
        </w:r>
      </w:hyperlink>
      <w:r w:rsidRPr="00E22D77">
        <w:rPr>
          <w:spacing w:val="-4"/>
        </w:rPr>
        <w:t>.</w:t>
      </w:r>
    </w:p>
  </w:footnote>
  <w:footnote w:id="15">
    <w:p w14:paraId="498A5931" w14:textId="3A457EFB" w:rsidR="005F56D9" w:rsidRPr="00E22D77" w:rsidRDefault="005F56D9" w:rsidP="00E22D77">
      <w:pPr>
        <w:pStyle w:val="Textpoznmkypodiarou"/>
        <w:spacing w:after="0"/>
        <w:ind w:left="709" w:hanging="709"/>
        <w:rPr>
          <w:spacing w:val="-4"/>
        </w:rPr>
      </w:pPr>
      <w:r w:rsidRPr="00E22D77">
        <w:rPr>
          <w:rStyle w:val="Odkaznapoznmkupodiarou"/>
        </w:rPr>
        <w:footnoteRef/>
      </w:r>
      <w:r w:rsidRPr="00E22D77">
        <w:tab/>
      </w:r>
      <w:r w:rsidRPr="00E22D77">
        <w:rPr>
          <w:spacing w:val="-4"/>
        </w:rPr>
        <w:t>Zmena Ministerskej vyhlášky, ktorou sa čiastočne reviduje ministerská vyhláška určujúca tovar</w:t>
      </w:r>
      <w:r w:rsidR="00E22D77" w:rsidRPr="00E22D77">
        <w:rPr>
          <w:spacing w:val="-4"/>
        </w:rPr>
        <w:t xml:space="preserve"> a </w:t>
      </w:r>
      <w:r w:rsidRPr="00E22D77">
        <w:rPr>
          <w:spacing w:val="-4"/>
        </w:rPr>
        <w:t>technológie podľa ustanovení pripojenej tabuľky 1 nariadenia</w:t>
      </w:r>
      <w:r w:rsidR="00E22D77" w:rsidRPr="00E22D77">
        <w:rPr>
          <w:spacing w:val="-4"/>
        </w:rPr>
        <w:t xml:space="preserve"> o </w:t>
      </w:r>
      <w:r w:rsidRPr="00E22D77">
        <w:rPr>
          <w:spacing w:val="-4"/>
        </w:rPr>
        <w:t>kontrole vývozu</w:t>
      </w:r>
      <w:r w:rsidR="00E22D77" w:rsidRPr="00E22D77">
        <w:rPr>
          <w:spacing w:val="-4"/>
        </w:rPr>
        <w:t xml:space="preserve"> a </w:t>
      </w:r>
      <w:r w:rsidRPr="00E22D77">
        <w:rPr>
          <w:spacing w:val="-4"/>
        </w:rPr>
        <w:t>pripojenej tabuľky devízového nariadenia,</w:t>
      </w:r>
      <w:r w:rsidR="00E22D77" w:rsidRPr="00E22D77">
        <w:rPr>
          <w:spacing w:val="-4"/>
        </w:rPr>
        <w:t xml:space="preserve"> k </w:t>
      </w:r>
      <w:r w:rsidRPr="00E22D77">
        <w:rPr>
          <w:spacing w:val="-4"/>
        </w:rPr>
        <w:t xml:space="preserve">dispozícii na adrese: </w:t>
      </w:r>
      <w:hyperlink r:id="rId3" w:anchor="230523" w:history="1">
        <w:r w:rsidRPr="00E22D77">
          <w:rPr>
            <w:rStyle w:val="Hypertextovprepojenie"/>
            <w:spacing w:val="-4"/>
          </w:rPr>
          <w:t>https://www.meti.go.jp/policy/anpo/law09-2.html#230523</w:t>
        </w:r>
      </w:hyperlink>
      <w:r w:rsidRPr="00E22D77">
        <w:rPr>
          <w:spacing w:val="-4"/>
        </w:rPr>
        <w:t>.</w:t>
      </w:r>
    </w:p>
  </w:footnote>
  <w:footnote w:id="16">
    <w:p w14:paraId="4352323C" w14:textId="7D8A6599" w:rsidR="000A37D7" w:rsidRPr="00E22D77" w:rsidRDefault="000A37D7" w:rsidP="00E22D77">
      <w:pPr>
        <w:pStyle w:val="Textpoznmkypodiarou"/>
        <w:spacing w:after="0"/>
        <w:ind w:left="709" w:hanging="709"/>
      </w:pPr>
      <w:r w:rsidRPr="00E22D77">
        <w:rPr>
          <w:rStyle w:val="Odkaznapoznmkupodiarou"/>
        </w:rPr>
        <w:footnoteRef/>
      </w:r>
      <w:r w:rsidRPr="00E22D77">
        <w:tab/>
        <w:t>Nariadením</w:t>
      </w:r>
      <w:r w:rsidR="00E22D77">
        <w:t xml:space="preserve"> o </w:t>
      </w:r>
      <w:r w:rsidRPr="00E22D77">
        <w:t>položkách</w:t>
      </w:r>
      <w:r w:rsidR="00E22D77">
        <w:t xml:space="preserve"> s </w:t>
      </w:r>
      <w:r w:rsidRPr="00E22D77">
        <w:t>dvojakým použitím</w:t>
      </w:r>
      <w:r w:rsidR="00E22D77">
        <w:t xml:space="preserve"> z </w:t>
      </w:r>
      <w:r w:rsidRPr="00E22D77">
        <w:t>roku 2021 sa zaviedla možnosť nových autonómnych kontrol EÚ pre položky kybernetického dohľadu (článok 5). Toto ustanovenie však nie je odskúšané, obmedzuje sa na položky kybernetického dohľadu</w:t>
      </w:r>
      <w:r w:rsidR="00E22D77">
        <w:t xml:space="preserve"> a </w:t>
      </w:r>
      <w:r w:rsidRPr="00E22D77">
        <w:t>vyžadovalo by si koordinované opatrenia všetkých členských štátov. Nariadením</w:t>
      </w:r>
      <w:r w:rsidR="00E22D77">
        <w:t xml:space="preserve"> o </w:t>
      </w:r>
      <w:r w:rsidRPr="00E22D77">
        <w:t>položkách</w:t>
      </w:r>
      <w:r w:rsidR="00E22D77">
        <w:t xml:space="preserve"> s </w:t>
      </w:r>
      <w:r w:rsidRPr="00E22D77">
        <w:t>dvojakým použitím</w:t>
      </w:r>
      <w:r w:rsidR="00E22D77">
        <w:t xml:space="preserve"> z </w:t>
      </w:r>
      <w:r w:rsidRPr="00E22D77">
        <w:t>roku 2021 sa takisto zaviedla možnosť členských štátov koordinovať kontroly</w:t>
      </w:r>
      <w:r w:rsidR="00E22D77">
        <w:t xml:space="preserve"> v </w:t>
      </w:r>
      <w:r w:rsidRPr="00E22D77">
        <w:t>rámci ich vnútroštátnych kontrolných zoznamov (články 9</w:t>
      </w:r>
      <w:r w:rsidR="00E22D77">
        <w:t xml:space="preserve"> a </w:t>
      </w:r>
      <w:r w:rsidRPr="00E22D77">
        <w:t>10), ale ukázalo sa, že to pravdepodobne neprinesie jednotné kontroly, ako sa opisuje</w:t>
      </w:r>
      <w:r w:rsidR="00E22D77">
        <w:t xml:space="preserve"> v </w:t>
      </w:r>
      <w:r w:rsidRPr="00E22D77">
        <w:t>oddiele 4.1.</w:t>
      </w:r>
    </w:p>
  </w:footnote>
  <w:footnote w:id="17">
    <w:p w14:paraId="62978F60" w14:textId="3C111C8E" w:rsidR="00816671" w:rsidRPr="00E22D77" w:rsidRDefault="00816671" w:rsidP="00E22D77">
      <w:pPr>
        <w:pStyle w:val="Textpoznmkypodiarou"/>
        <w:spacing w:after="0"/>
        <w:ind w:left="709" w:hanging="709"/>
      </w:pPr>
      <w:r w:rsidRPr="00E22D77">
        <w:rPr>
          <w:rStyle w:val="Odkaznapoznmkupodiarou"/>
        </w:rPr>
        <w:footnoteRef/>
      </w:r>
      <w:r w:rsidRPr="00E22D77">
        <w:tab/>
        <w:t>„Vnútroštátne opatrenia“ sa vzťahujú na činnosti rôznych druhov prijaté členskými štátmi vrátane napríklad vnútroštátnych všeobecných povolení na kontrolu vývozu, určenia príslušných orgánov, určenia colných úradov, ale aj vnútroštátnych kontrolných zoznamov opísaných nižšie.</w:t>
      </w:r>
    </w:p>
  </w:footnote>
  <w:footnote w:id="18">
    <w:p w14:paraId="69232267" w14:textId="31CF9DA4" w:rsidR="00282CFA" w:rsidRPr="00E22D77" w:rsidRDefault="00282CFA" w:rsidP="00E22D77">
      <w:pPr>
        <w:pStyle w:val="Textpoznmkypodiarou"/>
        <w:spacing w:after="0"/>
        <w:ind w:left="709" w:hanging="709"/>
        <w:rPr>
          <w:spacing w:val="-4"/>
        </w:rPr>
      </w:pPr>
      <w:r w:rsidRPr="00E22D77">
        <w:rPr>
          <w:rStyle w:val="Odkaznapoznmkupodiarou"/>
        </w:rPr>
        <w:footnoteRef/>
      </w:r>
      <w:r w:rsidRPr="00E22D77">
        <w:tab/>
      </w:r>
      <w:r w:rsidRPr="00E22D77">
        <w:rPr>
          <w:spacing w:val="-4"/>
        </w:rPr>
        <w:t>Vnútroštátne kontrolné zoznamy odkazujú na opatrenia prijaté členskými štátmi podľa článku 9 nariadenia</w:t>
      </w:r>
      <w:r w:rsidR="00E22D77" w:rsidRPr="00E22D77">
        <w:rPr>
          <w:spacing w:val="-4"/>
        </w:rPr>
        <w:t xml:space="preserve"> o </w:t>
      </w:r>
      <w:r w:rsidRPr="00E22D77">
        <w:rPr>
          <w:spacing w:val="-4"/>
        </w:rPr>
        <w:t>položkách</w:t>
      </w:r>
      <w:r w:rsidR="00E22D77" w:rsidRPr="00E22D77">
        <w:rPr>
          <w:spacing w:val="-4"/>
        </w:rPr>
        <w:t xml:space="preserve"> s </w:t>
      </w:r>
      <w:r w:rsidRPr="00E22D77">
        <w:rPr>
          <w:spacing w:val="-4"/>
        </w:rPr>
        <w:t>dvojakým použitím, na základe ktorých sa rozhodnú, že povoleniu budú podliehať položky</w:t>
      </w:r>
      <w:r w:rsidR="00E22D77" w:rsidRPr="00E22D77">
        <w:rPr>
          <w:spacing w:val="-4"/>
        </w:rPr>
        <w:t xml:space="preserve"> s </w:t>
      </w:r>
      <w:r w:rsidRPr="00E22D77">
        <w:rPr>
          <w:spacing w:val="-4"/>
        </w:rPr>
        <w:t>dvojakým použitím, ktoré nie sú uvedené</w:t>
      </w:r>
      <w:r w:rsidR="00E22D77" w:rsidRPr="00E22D77">
        <w:rPr>
          <w:spacing w:val="-4"/>
        </w:rPr>
        <w:t xml:space="preserve"> v </w:t>
      </w:r>
      <w:r w:rsidRPr="00E22D77">
        <w:rPr>
          <w:spacing w:val="-4"/>
        </w:rPr>
        <w:t>prílohe I</w:t>
      </w:r>
      <w:r w:rsidR="00E22D77" w:rsidRPr="00E22D77">
        <w:rPr>
          <w:spacing w:val="-4"/>
        </w:rPr>
        <w:t xml:space="preserve"> k </w:t>
      </w:r>
      <w:r w:rsidRPr="00E22D77">
        <w:rPr>
          <w:spacing w:val="-4"/>
        </w:rPr>
        <w:t>nariadeniu</w:t>
      </w:r>
      <w:r w:rsidR="00E22D77" w:rsidRPr="00E22D77">
        <w:rPr>
          <w:spacing w:val="-4"/>
        </w:rPr>
        <w:t xml:space="preserve"> o </w:t>
      </w:r>
      <w:r w:rsidRPr="00E22D77">
        <w:rPr>
          <w:spacing w:val="-4"/>
        </w:rPr>
        <w:t>položkách</w:t>
      </w:r>
      <w:r w:rsidR="00E22D77" w:rsidRPr="00E22D77">
        <w:rPr>
          <w:spacing w:val="-4"/>
        </w:rPr>
        <w:t xml:space="preserve"> s </w:t>
      </w:r>
      <w:r w:rsidRPr="00E22D77">
        <w:rPr>
          <w:spacing w:val="-4"/>
        </w:rPr>
        <w:t>dvojakým použitím,</w:t>
      </w:r>
      <w:r w:rsidR="00E22D77" w:rsidRPr="00E22D77">
        <w:rPr>
          <w:spacing w:val="-4"/>
        </w:rPr>
        <w:t xml:space="preserve"> a </w:t>
      </w:r>
      <w:r w:rsidRPr="00E22D77">
        <w:rPr>
          <w:spacing w:val="-4"/>
        </w:rPr>
        <w:t>teda nepodliehajú žiadnej kontrole. Členské štáty sú oprávnené prijať takéto vnútroštátne kontrolné zoznamy</w:t>
      </w:r>
      <w:r w:rsidR="00E22D77" w:rsidRPr="00E22D77">
        <w:rPr>
          <w:spacing w:val="-4"/>
        </w:rPr>
        <w:t xml:space="preserve"> z </w:t>
      </w:r>
      <w:r w:rsidRPr="00E22D77">
        <w:rPr>
          <w:spacing w:val="-4"/>
        </w:rPr>
        <w:t>dôvodov verejnej bezpečnosti vrátane predchádzania teroristickým činom alebo</w:t>
      </w:r>
      <w:r w:rsidR="00E22D77" w:rsidRPr="00E22D77">
        <w:rPr>
          <w:spacing w:val="-4"/>
        </w:rPr>
        <w:t xml:space="preserve"> z </w:t>
      </w:r>
      <w:r w:rsidRPr="00E22D77">
        <w:rPr>
          <w:spacing w:val="-4"/>
        </w:rPr>
        <w:t>dôvodu ľudských práv</w:t>
      </w:r>
      <w:r w:rsidR="00E22D77" w:rsidRPr="00E22D77">
        <w:rPr>
          <w:spacing w:val="-4"/>
        </w:rPr>
        <w:t>.</w:t>
      </w:r>
    </w:p>
  </w:footnote>
  <w:footnote w:id="19">
    <w:p w14:paraId="0A4346F1" w14:textId="4924434D" w:rsidR="000A37D7" w:rsidRPr="00E22D77" w:rsidRDefault="000A37D7" w:rsidP="00E22D77">
      <w:pPr>
        <w:pStyle w:val="Textpoznmkypodiarou"/>
        <w:spacing w:after="0"/>
        <w:ind w:left="709" w:hanging="709"/>
      </w:pPr>
      <w:r w:rsidRPr="00E22D77">
        <w:rPr>
          <w:rStyle w:val="Odkaznapoznmkupodiarou"/>
        </w:rPr>
        <w:footnoteRef/>
      </w:r>
      <w:r w:rsidRPr="00E22D77">
        <w:tab/>
        <w:t>Posledná takáto informačná poznámka bola uverejnená ako „Informácie</w:t>
      </w:r>
      <w:r w:rsidR="00E22D77">
        <w:t xml:space="preserve"> o </w:t>
      </w:r>
      <w:r w:rsidRPr="00E22D77">
        <w:t>opatreniach prijatých členskými štátmi</w:t>
      </w:r>
      <w:r w:rsidR="00E22D77">
        <w:t xml:space="preserve"> v </w:t>
      </w:r>
      <w:r w:rsidRPr="00E22D77">
        <w:t>súlade</w:t>
      </w:r>
      <w:r w:rsidR="00E22D77">
        <w:t xml:space="preserve"> s </w:t>
      </w:r>
      <w:r w:rsidRPr="00E22D77">
        <w:t>článkami 4, 5, 6, 7, 8, 9, 11, 12, 22</w:t>
      </w:r>
      <w:r w:rsidR="00E22D77">
        <w:t xml:space="preserve"> a </w:t>
      </w:r>
      <w:r w:rsidRPr="00E22D77">
        <w:t>23 (nariadenia</w:t>
      </w:r>
      <w:r w:rsidR="00E22D77">
        <w:t xml:space="preserve"> o </w:t>
      </w:r>
      <w:r w:rsidRPr="00E22D77">
        <w:t>položkách</w:t>
      </w:r>
      <w:r w:rsidR="00E22D77">
        <w:t xml:space="preserve"> s </w:t>
      </w:r>
      <w:r w:rsidRPr="00E22D77">
        <w:t>dvojakým použitím)“ (Ú. v. EÚ 2023/C 208/06). Súbor zoznamov EÚ bol po prvýkrát uverejnený 20</w:t>
      </w:r>
      <w:r w:rsidR="00E22D77">
        <w:t>. októbra</w:t>
      </w:r>
      <w:r w:rsidRPr="00E22D77">
        <w:t xml:space="preserve"> 2023 ako „Súbor vnútroštátnych kontrolných zoznamov podľa článku 9 ods. 4 (nariadenia</w:t>
      </w:r>
      <w:r w:rsidR="00E22D77">
        <w:t xml:space="preserve"> o </w:t>
      </w:r>
      <w:r w:rsidRPr="00E22D77">
        <w:t>položkách</w:t>
      </w:r>
      <w:r w:rsidR="00E22D77">
        <w:t xml:space="preserve"> s </w:t>
      </w:r>
      <w:r w:rsidRPr="00E22D77">
        <w:t>dvojakým použitím)“ (Ú. v. EÚ C/2023/441).</w:t>
      </w:r>
    </w:p>
  </w:footnote>
  <w:footnote w:id="20">
    <w:p w14:paraId="52052F24" w14:textId="43477C9D" w:rsidR="000A37D7" w:rsidRPr="00E22D77" w:rsidRDefault="000A37D7" w:rsidP="00E22D77">
      <w:pPr>
        <w:pStyle w:val="Textpoznmkypodiarou"/>
        <w:spacing w:after="0"/>
        <w:ind w:left="709" w:hanging="709"/>
      </w:pPr>
      <w:r w:rsidRPr="00E22D77">
        <w:rPr>
          <w:rStyle w:val="Odkaznapoznmkupodiarou"/>
        </w:rPr>
        <w:footnoteRef/>
      </w:r>
      <w:r w:rsidRPr="00E22D77">
        <w:tab/>
        <w:t>Tri členské štáty doteraz oznámili Európskej komisii prijatie vnútroštátnych kontrolných zoznamov navrhnutých na koordináciu kontrol členskými štátmi, pričom dva</w:t>
      </w:r>
      <w:r w:rsidR="00E22D77">
        <w:t xml:space="preserve"> z </w:t>
      </w:r>
      <w:r w:rsidRPr="00E22D77">
        <w:t>nich už boli zahrnuté do zostavovania vnútroštátnych kontrolných zoznamov uverejnených 20</w:t>
      </w:r>
      <w:r w:rsidR="00E22D77">
        <w:t>. októbra</w:t>
      </w:r>
      <w:r w:rsidRPr="00E22D77">
        <w:t xml:space="preserve"> 2023.</w:t>
      </w:r>
    </w:p>
  </w:footnote>
  <w:footnote w:id="21">
    <w:p w14:paraId="2BEE5CA2" w14:textId="43CD92A0" w:rsidR="000A37D7" w:rsidRPr="00E22D77" w:rsidRDefault="000A37D7" w:rsidP="00E22D77">
      <w:pPr>
        <w:pStyle w:val="Textpoznmkypodiarou"/>
        <w:spacing w:after="0"/>
        <w:ind w:left="709" w:hanging="709"/>
      </w:pPr>
      <w:r w:rsidRPr="00E22D77">
        <w:rPr>
          <w:rStyle w:val="Odkaznapoznmkupodiarou"/>
        </w:rPr>
        <w:footnoteRef/>
      </w:r>
      <w:r w:rsidRPr="00E22D77">
        <w:tab/>
        <w:t>List holandského ministra zahraničného obchodu</w:t>
      </w:r>
      <w:r w:rsidR="00E22D77">
        <w:t xml:space="preserve"> a </w:t>
      </w:r>
      <w:r w:rsidRPr="00E22D77">
        <w:t>rozvojovej spolupráce</w:t>
      </w:r>
      <w:r w:rsidR="00E22D77">
        <w:t xml:space="preserve"> z </w:t>
      </w:r>
      <w:r w:rsidRPr="00E22D77">
        <w:t>8</w:t>
      </w:r>
      <w:r w:rsidR="00E22D77">
        <w:t>. marca</w:t>
      </w:r>
      <w:r w:rsidRPr="00E22D77">
        <w:t xml:space="preserve"> 2023 holandskému parlamentu,</w:t>
      </w:r>
      <w:r w:rsidR="00E22D77">
        <w:t xml:space="preserve"> k </w:t>
      </w:r>
      <w:r w:rsidRPr="00E22D77">
        <w:t xml:space="preserve">dispozícii na adrese: </w:t>
      </w:r>
      <w:hyperlink r:id="rId4" w:history="1">
        <w:r w:rsidRPr="00E22D77">
          <w:rPr>
            <w:rStyle w:val="Hypertextovprepojenie"/>
          </w:rPr>
          <w:t>https://open.overheid.nl/documenten/oep-7b25ba07017fbcc4a9d285cc013849f6516f03bd/pdf</w:t>
        </w:r>
      </w:hyperlink>
      <w:r w:rsidRPr="00E22D77">
        <w:t>.</w:t>
      </w:r>
    </w:p>
  </w:footnote>
  <w:footnote w:id="22">
    <w:p w14:paraId="57E6B726" w14:textId="15BAFDD8" w:rsidR="009E2847" w:rsidRPr="00E22D77" w:rsidRDefault="009E2847" w:rsidP="00E22D77">
      <w:pPr>
        <w:pStyle w:val="Textpoznmkypodiarou"/>
        <w:spacing w:after="0"/>
        <w:ind w:left="709" w:hanging="709"/>
      </w:pPr>
      <w:r w:rsidRPr="00E22D77">
        <w:rPr>
          <w:rStyle w:val="Odkaznapoznmkupodiarou"/>
        </w:rPr>
        <w:footnoteRef/>
      </w:r>
      <w:r w:rsidRPr="00E22D77">
        <w:tab/>
        <w:t>Vyhláška ICT/534/2023</w:t>
      </w:r>
      <w:r w:rsidR="00E22D77">
        <w:t xml:space="preserve"> z </w:t>
      </w:r>
      <w:r w:rsidRPr="00E22D77">
        <w:t>26</w:t>
      </w:r>
      <w:r w:rsidR="00E22D77">
        <w:t>. mája</w:t>
      </w:r>
      <w:r w:rsidRPr="00E22D77">
        <w:t xml:space="preserve"> 2023,</w:t>
      </w:r>
      <w:r w:rsidR="00E22D77">
        <w:t xml:space="preserve"> k </w:t>
      </w:r>
      <w:r w:rsidRPr="00E22D77">
        <w:t xml:space="preserve">dispozícii na adrese </w:t>
      </w:r>
      <w:hyperlink r:id="rId5" w:history="1">
        <w:r w:rsidRPr="00E22D77">
          <w:rPr>
            <w:rStyle w:val="Hypertextovprepojenie"/>
          </w:rPr>
          <w:t>https://www.boe.es/boe/dias/2023/05/31/pdfs/BOE-A-2023-12785.pdf</w:t>
        </w:r>
      </w:hyperlink>
    </w:p>
  </w:footnote>
  <w:footnote w:id="23">
    <w:p w14:paraId="7264838C" w14:textId="79ED1500" w:rsidR="000A37D7" w:rsidRPr="00E22D77" w:rsidRDefault="000A37D7" w:rsidP="00E22D77">
      <w:pPr>
        <w:pStyle w:val="Textpoznmkypodiarou"/>
        <w:spacing w:after="0"/>
        <w:ind w:left="709" w:hanging="709"/>
      </w:pPr>
      <w:r w:rsidRPr="00E22D77">
        <w:rPr>
          <w:rStyle w:val="Odkaznapoznmkupodiarou"/>
        </w:rPr>
        <w:footnoteRef/>
      </w:r>
      <w:r w:rsidRPr="00E22D77">
        <w:tab/>
        <w:t xml:space="preserve">Uznesenie </w:t>
      </w:r>
      <w:r w:rsidR="00E22D77">
        <w:t>č. </w:t>
      </w:r>
      <w:r w:rsidRPr="00E22D77">
        <w:t>512</w:t>
      </w:r>
      <w:r w:rsidR="00E22D77">
        <w:t xml:space="preserve"> z </w:t>
      </w:r>
      <w:r w:rsidRPr="00E22D77">
        <w:t>28</w:t>
      </w:r>
      <w:r w:rsidR="00E22D77">
        <w:t>. júna</w:t>
      </w:r>
      <w:r w:rsidRPr="00E22D77">
        <w:t xml:space="preserve"> 2023</w:t>
      </w:r>
      <w:r w:rsidR="00E22D77">
        <w:t xml:space="preserve"> o </w:t>
      </w:r>
      <w:r w:rsidRPr="00E22D77">
        <w:t>uplatňovaní vnútroštátnych kontrolných opatrení podľa článku 9 nariadenia Európskeho parlamentu</w:t>
      </w:r>
      <w:r w:rsidR="00E22D77">
        <w:t xml:space="preserve"> a </w:t>
      </w:r>
      <w:r w:rsidRPr="00E22D77">
        <w:t>Rady (EÚ) 2021/821,</w:t>
      </w:r>
      <w:r w:rsidR="00E22D77">
        <w:t xml:space="preserve"> k </w:t>
      </w:r>
      <w:r w:rsidRPr="00E22D77">
        <w:t xml:space="preserve">dispozícii na adrese: </w:t>
      </w:r>
      <w:hyperlink r:id="rId6" w:history="1">
        <w:r w:rsidRPr="00E22D77">
          <w:rPr>
            <w:rStyle w:val="Hypertextovprepojenie"/>
          </w:rPr>
          <w:t>https://e-seimas.lrs.lt/portal/legalAct/lt/TAD/e136d18116b211eea9b3de7dd350a34e?positionInSearchResults=6&amp;searchModelUUID=f43633e4-8d0d-4761-b5f5-adb027d53453</w:t>
        </w:r>
      </w:hyperlink>
      <w:r w:rsidR="00E22D77">
        <w:t>.</w:t>
      </w:r>
    </w:p>
  </w:footnote>
  <w:footnote w:id="24">
    <w:p w14:paraId="729BE89C" w14:textId="4C516F9B" w:rsidR="00EA4F23" w:rsidRPr="00E22D77" w:rsidRDefault="00EA4F23" w:rsidP="00E22D77">
      <w:pPr>
        <w:pStyle w:val="Textpoznmkypodiarou"/>
        <w:spacing w:after="0"/>
        <w:ind w:left="709" w:hanging="709"/>
      </w:pPr>
      <w:r w:rsidRPr="00E22D77">
        <w:rPr>
          <w:rStyle w:val="Odkaznapoznmkupodiarou"/>
        </w:rPr>
        <w:footnoteRef/>
      </w:r>
      <w:r w:rsidRPr="00E22D77">
        <w:t xml:space="preserve"> </w:t>
      </w:r>
      <w:r w:rsidRPr="00E22D77">
        <w:tab/>
        <w:t>Uznesenie</w:t>
      </w:r>
      <w:r w:rsidR="00E22D77">
        <w:t xml:space="preserve"> z </w:t>
      </w:r>
      <w:r w:rsidRPr="00E22D77">
        <w:t>novembra 2023 je</w:t>
      </w:r>
      <w:r w:rsidR="00E22D77">
        <w:t xml:space="preserve"> k </w:t>
      </w:r>
      <w:r w:rsidRPr="00E22D77">
        <w:t xml:space="preserve">dispozícii na adrese: </w:t>
      </w:r>
      <w:hyperlink r:id="rId7" w:history="1">
        <w:r w:rsidRPr="00E22D77">
          <w:rPr>
            <w:rStyle w:val="Hypertextovprepojenie"/>
          </w:rPr>
          <w:t>https://e-seimas.lrs.lt/portal/legalAct/lt/TAD/0f49a4e0857011ee9ee3e4a7f62b7a26?positionInSearchResults=2&amp;searchModelUUID=e121fc54-2c6c-4133-b8f0-26af9214c826</w:t>
        </w:r>
      </w:hyperlink>
    </w:p>
  </w:footnote>
  <w:footnote w:id="25">
    <w:p w14:paraId="151783C1" w14:textId="18859F38" w:rsidR="000A37D7" w:rsidRPr="00E22D77" w:rsidRDefault="000A37D7" w:rsidP="00E22D77">
      <w:pPr>
        <w:pStyle w:val="Textpoznmkypodiarou"/>
        <w:spacing w:after="0"/>
        <w:ind w:left="709" w:hanging="709"/>
      </w:pPr>
      <w:r w:rsidRPr="00E22D77">
        <w:rPr>
          <w:rStyle w:val="Odkaznapoznmkupodiarou"/>
        </w:rPr>
        <w:footnoteRef/>
      </w:r>
      <w:r w:rsidRPr="00E22D77">
        <w:tab/>
        <w:t>Verejná konzultácia je</w:t>
      </w:r>
      <w:r w:rsidR="00E22D77">
        <w:t xml:space="preserve"> k </w:t>
      </w:r>
      <w:r w:rsidRPr="00E22D77">
        <w:t xml:space="preserve">dispozícii na adrese: </w:t>
      </w:r>
      <w:hyperlink r:id="rId8" w:history="1">
        <w:r w:rsidRPr="00E22D77">
          <w:rPr>
            <w:rStyle w:val="Hypertextovprepojenie"/>
          </w:rPr>
          <w:t>https://valtioneuvosto.fi/hanke?tunnus=UM008:00/2019</w:t>
        </w:r>
      </w:hyperlink>
      <w:r w:rsidRPr="00E22D77">
        <w:t>.</w:t>
      </w:r>
    </w:p>
  </w:footnote>
  <w:footnote w:id="26">
    <w:p w14:paraId="50BE1645" w14:textId="72FB09C2" w:rsidR="00206628" w:rsidRPr="00E22D77" w:rsidRDefault="00206628" w:rsidP="00E22D77">
      <w:pPr>
        <w:pStyle w:val="Textpoznmkypodiarou"/>
        <w:spacing w:after="0"/>
        <w:ind w:left="709" w:hanging="709"/>
      </w:pPr>
      <w:r w:rsidRPr="00E22D77">
        <w:rPr>
          <w:rStyle w:val="Odkaznapoznmkupodiarou"/>
        </w:rPr>
        <w:footnoteRef/>
      </w:r>
      <w:r w:rsidRPr="00E22D77">
        <w:tab/>
        <w:t>Je potrebné poznamenať, že Komisia by bola vyzvaná, aby</w:t>
      </w:r>
      <w:r w:rsidR="00E22D77">
        <w:t xml:space="preserve"> v </w:t>
      </w:r>
      <w:r w:rsidRPr="00E22D77">
        <w:t>mene EÚ obhajovala opatrenia jednotlivých členských štátov, ak by tieto opatrenia napadla tretia krajina</w:t>
      </w:r>
      <w:r w:rsidR="00E22D77">
        <w:t xml:space="preserve"> v </w:t>
      </w:r>
      <w:r w:rsidRPr="00E22D77">
        <w:t>rámci Svetovej obchodnej organizácie. Rovnako by EÚ konala aj</w:t>
      </w:r>
      <w:r w:rsidR="00E22D77">
        <w:t xml:space="preserve"> v </w:t>
      </w:r>
      <w:r w:rsidRPr="00E22D77">
        <w:t>rámci nového nástroja na boj proti nátlaku</w:t>
      </w:r>
      <w:r w:rsidR="00E22D77">
        <w:t xml:space="preserve"> v </w:t>
      </w:r>
      <w:r w:rsidRPr="00E22D77">
        <w:t>reakcii na opatrenia tretej krajiny</w:t>
      </w:r>
      <w:r w:rsidR="00E22D77">
        <w:t xml:space="preserve"> v </w:t>
      </w:r>
      <w:r w:rsidRPr="00E22D77">
        <w:t>reakcii na kontroly vývozu členských štátov, ktorá by sa snažila zmeniť tieto opatrenia členských štátov alebo zabezpečiť, aby sa nedodržiavali na úrovni EÚ alebo</w:t>
      </w:r>
      <w:r w:rsidR="00E22D77">
        <w:t xml:space="preserve"> v </w:t>
      </w:r>
      <w:r w:rsidRPr="00E22D77">
        <w:t>iných členských štátoch.</w:t>
      </w:r>
    </w:p>
  </w:footnote>
  <w:footnote w:id="27">
    <w:p w14:paraId="4F930A52" w14:textId="3E9A06D3" w:rsidR="000A37D7" w:rsidRPr="00E22D77" w:rsidRDefault="000A37D7" w:rsidP="00E22D77">
      <w:pPr>
        <w:pStyle w:val="Textpoznmkypodiarou"/>
        <w:spacing w:after="0"/>
        <w:ind w:left="709" w:hanging="709"/>
        <w:rPr>
          <w:spacing w:val="-10"/>
        </w:rPr>
      </w:pPr>
      <w:r w:rsidRPr="00E22D77">
        <w:rPr>
          <w:rStyle w:val="Odkaznapoznmkupodiarou"/>
        </w:rPr>
        <w:footnoteRef/>
      </w:r>
      <w:r w:rsidRPr="00E22D77">
        <w:tab/>
      </w:r>
      <w:r w:rsidRPr="00E22D77">
        <w:rPr>
          <w:spacing w:val="-10"/>
        </w:rPr>
        <w:t>Podľa nariadenia</w:t>
      </w:r>
      <w:r w:rsidR="00E22D77" w:rsidRPr="00E22D77">
        <w:rPr>
          <w:spacing w:val="-10"/>
        </w:rPr>
        <w:t xml:space="preserve"> o </w:t>
      </w:r>
      <w:r w:rsidRPr="00E22D77">
        <w:rPr>
          <w:spacing w:val="-10"/>
        </w:rPr>
        <w:t>položkách</w:t>
      </w:r>
      <w:r w:rsidR="00E22D77" w:rsidRPr="00E22D77">
        <w:rPr>
          <w:spacing w:val="-10"/>
        </w:rPr>
        <w:t xml:space="preserve"> s </w:t>
      </w:r>
      <w:r w:rsidRPr="00E22D77">
        <w:rPr>
          <w:spacing w:val="-10"/>
        </w:rPr>
        <w:t>dvojakým použitím sa od členských štátov, ktoré zamietnu vývoz na základe vnútroštátneho kontrolného zoznamu iného členského štátu, vyžaduje, aby</w:t>
      </w:r>
      <w:r w:rsidR="00E22D77" w:rsidRPr="00E22D77">
        <w:rPr>
          <w:spacing w:val="-10"/>
        </w:rPr>
        <w:t xml:space="preserve"> o </w:t>
      </w:r>
      <w:r w:rsidRPr="00E22D77">
        <w:rPr>
          <w:spacing w:val="-10"/>
        </w:rPr>
        <w:t>takomto rozhodnutí informovali Komisiu</w:t>
      </w:r>
      <w:r w:rsidR="00E22D77" w:rsidRPr="00E22D77">
        <w:rPr>
          <w:spacing w:val="-10"/>
        </w:rPr>
        <w:t xml:space="preserve"> a </w:t>
      </w:r>
      <w:r w:rsidRPr="00E22D77">
        <w:rPr>
          <w:spacing w:val="-10"/>
        </w:rPr>
        <w:t>ostatné členské štáty. Členské štáty však nemusia informovať</w:t>
      </w:r>
      <w:r w:rsidR="00E22D77" w:rsidRPr="00E22D77">
        <w:rPr>
          <w:spacing w:val="-10"/>
        </w:rPr>
        <w:t xml:space="preserve"> o </w:t>
      </w:r>
      <w:r w:rsidRPr="00E22D77">
        <w:rPr>
          <w:spacing w:val="-10"/>
        </w:rPr>
        <w:t>neexistencii kontrol alebo povolení na vývoz.</w:t>
      </w:r>
    </w:p>
  </w:footnote>
  <w:footnote w:id="28">
    <w:p w14:paraId="56FFBF2F" w14:textId="0CA4CD79" w:rsidR="000A37D7" w:rsidRPr="00E22D77" w:rsidRDefault="000A37D7" w:rsidP="00E22D77">
      <w:pPr>
        <w:pStyle w:val="Textpoznmkypodiarou"/>
        <w:spacing w:after="0"/>
        <w:ind w:left="709" w:hanging="709"/>
      </w:pPr>
      <w:r w:rsidRPr="00E22D77">
        <w:rPr>
          <w:rStyle w:val="Odkaznapoznmkupodiarou"/>
        </w:rPr>
        <w:footnoteRef/>
      </w:r>
      <w:r w:rsidRPr="00E22D77">
        <w:tab/>
        <w:t>„Univerzálne“ kontroly sa vo všeobecnosti chápu ako kontroly, ktoré členské štáty uplatňujú na položky, ktoré nie sú uvedené</w:t>
      </w:r>
      <w:r w:rsidR="00E22D77">
        <w:t xml:space="preserve"> v </w:t>
      </w:r>
      <w:r w:rsidRPr="00E22D77">
        <w:t>prílohe I</w:t>
      </w:r>
      <w:r w:rsidR="00E22D77">
        <w:t xml:space="preserve"> k </w:t>
      </w:r>
      <w:r w:rsidRPr="00E22D77">
        <w:t>nariadeniu</w:t>
      </w:r>
      <w:r w:rsidR="00E22D77">
        <w:t xml:space="preserve"> o </w:t>
      </w:r>
      <w:r w:rsidRPr="00E22D77">
        <w:t>položkách</w:t>
      </w:r>
      <w:r w:rsidR="00E22D77">
        <w:t xml:space="preserve"> s </w:t>
      </w:r>
      <w:r w:rsidRPr="00E22D77">
        <w:t>dvojakým použitím (tzv. kontrolný zoznam EÚ), takže kontroly sa vzťahujú na položky, ktoré ešte neboli dohodnuté</w:t>
      </w:r>
      <w:r w:rsidR="00E22D77">
        <w:t xml:space="preserve"> v </w:t>
      </w:r>
      <w:r w:rsidRPr="00E22D77">
        <w:t>rámci multilaterálnych režimov kontroly vývozu. Predovšetkým</w:t>
      </w:r>
      <w:r w:rsidR="00E22D77">
        <w:t xml:space="preserve"> v </w:t>
      </w:r>
      <w:r w:rsidRPr="00E22D77">
        <w:t>článku 4 nariadenia</w:t>
      </w:r>
      <w:r w:rsidR="00E22D77">
        <w:t xml:space="preserve"> o </w:t>
      </w:r>
      <w:r w:rsidRPr="00E22D77">
        <w:t>položkách</w:t>
      </w:r>
      <w:r w:rsidR="00E22D77">
        <w:t xml:space="preserve"> s </w:t>
      </w:r>
      <w:r w:rsidRPr="00E22D77">
        <w:t>dvojakým použitím sa vyžaduje, aby vývozcovia požiadali</w:t>
      </w:r>
      <w:r w:rsidR="00E22D77">
        <w:t xml:space="preserve"> o </w:t>
      </w:r>
      <w:r w:rsidRPr="00E22D77">
        <w:t>vývozné povolenie, ak sú informovaní príslušným orgánom členského štátu</w:t>
      </w:r>
      <w:r w:rsidR="00E22D77">
        <w:t xml:space="preserve"> o </w:t>
      </w:r>
      <w:r w:rsidRPr="00E22D77">
        <w:t>tom, že položka, ktorú vyvážajú, môže byť určená na jedno</w:t>
      </w:r>
      <w:r w:rsidR="00E22D77">
        <w:t xml:space="preserve"> z </w:t>
      </w:r>
      <w:r w:rsidRPr="00E22D77">
        <w:t>určitých citlivých konečných použití podrobne opísaných</w:t>
      </w:r>
      <w:r w:rsidR="00E22D77">
        <w:t xml:space="preserve"> v </w:t>
      </w:r>
      <w:r w:rsidRPr="00E22D77">
        <w:t>článku 4. Takéto informácie majú vo všeobecnosti formu neverejného individuálneho oznámenia príslušnému vývozcovi</w:t>
      </w:r>
      <w:r w:rsidR="00E22D77">
        <w:t>.</w:t>
      </w:r>
    </w:p>
  </w:footnote>
  <w:footnote w:id="29">
    <w:p w14:paraId="31AE74CC" w14:textId="6CC81E4C" w:rsidR="00793411" w:rsidRPr="00E22D77" w:rsidRDefault="00793411" w:rsidP="00E22D77">
      <w:pPr>
        <w:pStyle w:val="Textpoznmkypodiarou"/>
        <w:spacing w:after="0"/>
        <w:ind w:left="709" w:hanging="709"/>
      </w:pPr>
      <w:r w:rsidRPr="00E22D77">
        <w:rPr>
          <w:rStyle w:val="Odkaznapoznmkupodiarou"/>
        </w:rPr>
        <w:footnoteRef/>
      </w:r>
      <w:r w:rsidRPr="00E22D77">
        <w:tab/>
        <w:t>Niektoré členské štáty nemajú právny základ na prijatie vnútroštátnych kontrol podľa článku 9. Okrem toho vnútroštátne právne predpisy niektorých členských štátov im neumožňujú prijímať verejné</w:t>
      </w:r>
      <w:r w:rsidR="00E22D77">
        <w:t xml:space="preserve"> a </w:t>
      </w:r>
      <w:r w:rsidRPr="00E22D77">
        <w:t>transparentné kontroly podľa článku 10. Skôr sa musia uchýliť</w:t>
      </w:r>
      <w:r w:rsidR="00E22D77">
        <w:t xml:space="preserve"> k </w:t>
      </w:r>
      <w:r w:rsidRPr="00E22D77">
        <w:t>individuálnym neverejným oznámeniam vývozcom</w:t>
      </w:r>
      <w:r w:rsidR="00E22D77">
        <w:t>.</w:t>
      </w:r>
    </w:p>
  </w:footnote>
  <w:footnote w:id="30">
    <w:p w14:paraId="060602B1" w14:textId="5BE0B827" w:rsidR="000A37D7" w:rsidRPr="00E22D77" w:rsidRDefault="000A37D7" w:rsidP="00E22D77">
      <w:pPr>
        <w:pStyle w:val="Textpoznmkypodiarou"/>
        <w:spacing w:after="0"/>
        <w:ind w:left="709" w:hanging="709"/>
      </w:pPr>
      <w:r w:rsidRPr="00E22D77">
        <w:rPr>
          <w:rStyle w:val="Odkaznapoznmkupodiarou"/>
        </w:rPr>
        <w:footnoteRef/>
      </w:r>
      <w:r w:rsidRPr="00E22D77">
        <w:tab/>
        <w:t>Ďalšie podrobnosti</w:t>
      </w:r>
      <w:r w:rsidR="00E22D77">
        <w:t xml:space="preserve"> o </w:t>
      </w:r>
      <w:r w:rsidRPr="00E22D77">
        <w:t>článkoch 5, 9</w:t>
      </w:r>
      <w:r w:rsidR="00E22D77">
        <w:t xml:space="preserve"> a </w:t>
      </w:r>
      <w:r w:rsidRPr="00E22D77">
        <w:t>10 nariadenia</w:t>
      </w:r>
      <w:r w:rsidR="00E22D77">
        <w:t xml:space="preserve"> o </w:t>
      </w:r>
      <w:r w:rsidRPr="00E22D77">
        <w:t>položkách</w:t>
      </w:r>
      <w:r w:rsidR="00E22D77">
        <w:t xml:space="preserve"> s </w:t>
      </w:r>
      <w:r w:rsidRPr="00E22D77">
        <w:t>dvojakým použitím sú uvedené</w:t>
      </w:r>
      <w:r w:rsidR="00E22D77">
        <w:t xml:space="preserve"> v </w:t>
      </w:r>
      <w:r w:rsidRPr="00E22D77">
        <w:t>poznámke pod čiarou 15.</w:t>
      </w:r>
    </w:p>
  </w:footnote>
  <w:footnote w:id="31">
    <w:p w14:paraId="2FA1EE4F" w14:textId="1505CB6E" w:rsidR="000A37D7" w:rsidRPr="00E22D77" w:rsidRDefault="000A37D7" w:rsidP="00E22D77">
      <w:pPr>
        <w:pStyle w:val="Textpoznmkypodiarou"/>
        <w:spacing w:after="0"/>
        <w:ind w:left="709" w:hanging="709"/>
      </w:pPr>
      <w:r w:rsidRPr="00E22D77">
        <w:rPr>
          <w:rStyle w:val="Odkaznapoznmkupodiarou"/>
        </w:rPr>
        <w:footnoteRef/>
      </w:r>
      <w:r w:rsidRPr="00E22D77">
        <w:tab/>
        <w:t>Cyprus, Estónsko, Lotyšsko, Litva, Malta, Rumunsko, Slovinsko</w:t>
      </w:r>
      <w:r w:rsidR="00E22D77">
        <w:t xml:space="preserve"> a </w:t>
      </w:r>
      <w:r w:rsidRPr="00E22D77">
        <w:t>Slovensko</w:t>
      </w:r>
      <w:r w:rsidR="00E22D77">
        <w:t xml:space="preserve"> v </w:t>
      </w:r>
      <w:r w:rsidRPr="00E22D77">
        <w:t>súčasnosti nie sú zmluvnými stranami Režimu kontroly raketových technológií</w:t>
      </w:r>
      <w:r w:rsidR="00E22D77">
        <w:t xml:space="preserve"> a </w:t>
      </w:r>
      <w:r w:rsidRPr="00E22D77">
        <w:t>Cyprus nie je zmluvnou stranou Wassenaarskeho usporiadania.</w:t>
      </w:r>
    </w:p>
  </w:footnote>
  <w:footnote w:id="32">
    <w:p w14:paraId="771B5585" w14:textId="2134A5FB" w:rsidR="00A960CA" w:rsidRPr="00E22D77" w:rsidRDefault="00A960CA" w:rsidP="00E22D77">
      <w:pPr>
        <w:pStyle w:val="Textpoznmkypodiarou"/>
        <w:spacing w:after="0"/>
        <w:ind w:left="709" w:hanging="709"/>
      </w:pPr>
      <w:r w:rsidRPr="00E22D77">
        <w:rPr>
          <w:rStyle w:val="Odkaznapoznmkupodiarou"/>
        </w:rPr>
        <w:footnoteRef/>
      </w:r>
      <w:r w:rsidRPr="00E22D77">
        <w:tab/>
        <w:t>Týmito opatreniami sa doplnili opatrenia, ktoré EÚ uložila na vývoz určitého tovaru</w:t>
      </w:r>
      <w:r w:rsidR="00E22D77">
        <w:t xml:space="preserve"> a </w:t>
      </w:r>
      <w:r w:rsidRPr="00E22D77">
        <w:t>technológií</w:t>
      </w:r>
      <w:r w:rsidR="00E22D77">
        <w:t xml:space="preserve"> s </w:t>
      </w:r>
      <w:r w:rsidRPr="00E22D77">
        <w:t>dvojakým použitím už</w:t>
      </w:r>
      <w:r w:rsidR="00E22D77">
        <w:t xml:space="preserve"> v </w:t>
      </w:r>
      <w:r w:rsidRPr="00E22D77">
        <w:t>júli 2014</w:t>
      </w:r>
      <w:r w:rsidR="00E22D77">
        <w:t>.</w:t>
      </w:r>
    </w:p>
  </w:footnote>
  <w:footnote w:id="33">
    <w:p w14:paraId="4FD74BB8" w14:textId="76250C57" w:rsidR="00D35261" w:rsidRPr="00E22D77" w:rsidRDefault="00D35261" w:rsidP="00E22D77">
      <w:pPr>
        <w:pStyle w:val="Textpoznmkypodiarou"/>
        <w:spacing w:after="0"/>
        <w:ind w:left="709" w:hanging="709"/>
      </w:pPr>
      <w:r w:rsidRPr="00E22D77">
        <w:rPr>
          <w:rStyle w:val="Odkaznapoznmkupodiarou"/>
        </w:rPr>
        <w:footnoteRef/>
      </w:r>
      <w:r w:rsidRPr="00E22D77">
        <w:tab/>
        <w:t>CRMS2 slúži ako jednotné referenčné miesto pre členské štáty, pokiaľ ide</w:t>
      </w:r>
      <w:r w:rsidR="00E22D77">
        <w:t xml:space="preserve"> o </w:t>
      </w:r>
      <w:r w:rsidRPr="00E22D77">
        <w:t>prístup</w:t>
      </w:r>
      <w:r w:rsidR="00E22D77">
        <w:t xml:space="preserve"> k </w:t>
      </w:r>
      <w:r w:rsidRPr="00E22D77">
        <w:t>informáciám relevantným pre riadenie rizík</w:t>
      </w:r>
      <w:r w:rsidR="00E22D77">
        <w:t xml:space="preserve"> v </w:t>
      </w:r>
      <w:r w:rsidRPr="00E22D77">
        <w:t>súvislosti</w:t>
      </w:r>
      <w:r w:rsidR="00E22D77">
        <w:t xml:space="preserve"> s </w:t>
      </w:r>
      <w:r w:rsidRPr="00E22D77">
        <w:t>vykonávaním sankcií</w:t>
      </w:r>
      <w:r w:rsidR="00E22D77">
        <w:t xml:space="preserve"> a s </w:t>
      </w:r>
      <w:r w:rsidRPr="00E22D77">
        <w:t>hrozbami obchádzania.</w:t>
      </w:r>
    </w:p>
  </w:footnote>
  <w:footnote w:id="34">
    <w:p w14:paraId="72216760" w14:textId="5DBC380E" w:rsidR="007F366F" w:rsidRPr="00E22D77" w:rsidRDefault="007F366F" w:rsidP="00E22D77">
      <w:pPr>
        <w:pStyle w:val="Textpoznmkypodiarou"/>
        <w:spacing w:after="0"/>
        <w:ind w:left="709" w:hanging="709"/>
      </w:pPr>
      <w:r w:rsidRPr="00E22D77">
        <w:rPr>
          <w:rStyle w:val="Odkaznapoznmkupodiarou"/>
        </w:rPr>
        <w:footnoteRef/>
      </w:r>
      <w:r w:rsidRPr="00E22D77">
        <w:tab/>
        <w:t>V kontexte elektronického systému pre položky</w:t>
      </w:r>
      <w:r w:rsidR="00E22D77">
        <w:t xml:space="preserve"> s </w:t>
      </w:r>
      <w:r w:rsidRPr="00E22D77">
        <w:t>dvojakým použitím (DUeS) (elektronický systém stanovený</w:t>
      </w:r>
      <w:r w:rsidR="00E22D77">
        <w:t xml:space="preserve"> v </w:t>
      </w:r>
      <w:r w:rsidRPr="00E22D77">
        <w:t>článku 23 ods. 6 nariadenia</w:t>
      </w:r>
      <w:r w:rsidR="00E22D77">
        <w:t xml:space="preserve"> o </w:t>
      </w:r>
      <w:r w:rsidRPr="00E22D77">
        <w:t>položkách</w:t>
      </w:r>
      <w:r w:rsidR="00E22D77">
        <w:t xml:space="preserve"> s </w:t>
      </w:r>
      <w:r w:rsidRPr="00E22D77">
        <w:t>dvojakým použitím) si členské štáty EÚ vymieňajú informácie týkajúce sa sankcií nielen</w:t>
      </w:r>
      <w:r w:rsidR="00E22D77">
        <w:t xml:space="preserve"> v </w:t>
      </w:r>
      <w:r w:rsidRPr="00E22D77">
        <w:t>súvislosti so zamietnutiami (ako sa to deje podľa nariadenia</w:t>
      </w:r>
      <w:r w:rsidR="00E22D77">
        <w:t xml:space="preserve"> o </w:t>
      </w:r>
      <w:r w:rsidRPr="00E22D77">
        <w:t>položkách</w:t>
      </w:r>
      <w:r w:rsidR="00E22D77">
        <w:t xml:space="preserve"> s </w:t>
      </w:r>
      <w:r w:rsidRPr="00E22D77">
        <w:t>dvojakým použitím), ale aj</w:t>
      </w:r>
      <w:r w:rsidR="00E22D77">
        <w:t xml:space="preserve"> s </w:t>
      </w:r>
      <w:r w:rsidRPr="00E22D77">
        <w:t>povoleniami udelenými na určitý obmedzený vývoz do Ruska. Podporuje to aj prijatie colnej reformy, ktorú Komisia navrhla</w:t>
      </w:r>
      <w:r w:rsidR="00E22D77">
        <w:t xml:space="preserve"> v </w:t>
      </w:r>
      <w:r w:rsidRPr="00E22D77">
        <w:t>máji 2023, vrátane nového colného orgánu</w:t>
      </w:r>
      <w:r w:rsidR="00E22D77">
        <w:t xml:space="preserve"> a </w:t>
      </w:r>
      <w:r w:rsidRPr="00E22D77">
        <w:t>dátového centra, ktoré pomôžu dosiahnuť lepší prístup EÚ</w:t>
      </w:r>
      <w:r w:rsidR="00E22D77">
        <w:t xml:space="preserve"> k </w:t>
      </w:r>
      <w:r w:rsidRPr="00E22D77">
        <w:t>riadeniu rizík.</w:t>
      </w:r>
    </w:p>
  </w:footnote>
  <w:footnote w:id="35">
    <w:p w14:paraId="30FC2506" w14:textId="66BB0344" w:rsidR="008F7AD6" w:rsidRPr="00E22D77" w:rsidRDefault="008F7AD6" w:rsidP="00E22D77">
      <w:pPr>
        <w:pStyle w:val="Textpoznmkypodiarou"/>
        <w:spacing w:after="0"/>
        <w:ind w:left="709" w:hanging="709"/>
      </w:pPr>
      <w:r w:rsidRPr="00E22D77">
        <w:rPr>
          <w:rStyle w:val="Odkaznapoznmkupodiarou"/>
        </w:rPr>
        <w:footnoteRef/>
      </w:r>
      <w:r w:rsidRPr="00E22D77">
        <w:tab/>
        <w:t>Napríklad časť A prílohy VII</w:t>
      </w:r>
      <w:r w:rsidR="00E22D77">
        <w:t xml:space="preserve"> k </w:t>
      </w:r>
      <w:r w:rsidRPr="00E22D77">
        <w:t xml:space="preserve">nariadeniu </w:t>
      </w:r>
      <w:r w:rsidR="00E22D77">
        <w:t>č. </w:t>
      </w:r>
      <w:r w:rsidRPr="00E22D77">
        <w:t>833/2014 („nariadenie</w:t>
      </w:r>
      <w:r w:rsidR="00E22D77">
        <w:t xml:space="preserve"> o </w:t>
      </w:r>
      <w:r w:rsidRPr="00E22D77">
        <w:t>sankciách voči Rusku“),</w:t>
      </w:r>
      <w:r w:rsidR="00E22D77">
        <w:t xml:space="preserve"> v </w:t>
      </w:r>
      <w:r w:rsidRPr="00E22D77">
        <w:t>ktorej sa uvádzajú položky podliehajúce obmedzeniam vývozu do Ruska, má podobnú štruktúru ako príloha I</w:t>
      </w:r>
      <w:r w:rsidR="00E22D77">
        <w:t xml:space="preserve"> k </w:t>
      </w:r>
      <w:r w:rsidRPr="00E22D77">
        <w:t>nariadeniu</w:t>
      </w:r>
      <w:r w:rsidR="00E22D77">
        <w:t xml:space="preserve"> o </w:t>
      </w:r>
      <w:r w:rsidRPr="00E22D77">
        <w:t>položkách</w:t>
      </w:r>
      <w:r w:rsidR="00E22D77">
        <w:t xml:space="preserve"> s </w:t>
      </w:r>
      <w:r w:rsidRPr="00E22D77">
        <w:t>dvojakým použitím. Okrem toho sa</w:t>
      </w:r>
      <w:r w:rsidR="00E22D77">
        <w:t xml:space="preserve"> v </w:t>
      </w:r>
      <w:r w:rsidRPr="00E22D77">
        <w:t>článku 2 ods. 6 nariadenia</w:t>
      </w:r>
      <w:r w:rsidR="00E22D77">
        <w:t xml:space="preserve"> o </w:t>
      </w:r>
      <w:r w:rsidRPr="00E22D77">
        <w:t>sankciách voči Rusku stanovuje, že pravidlá</w:t>
      </w:r>
      <w:r w:rsidR="00E22D77">
        <w:t xml:space="preserve"> a </w:t>
      </w:r>
      <w:r w:rsidRPr="00E22D77">
        <w:t>postupy nariadenia</w:t>
      </w:r>
      <w:r w:rsidR="00E22D77">
        <w:t xml:space="preserve"> o </w:t>
      </w:r>
      <w:r w:rsidRPr="00E22D77">
        <w:t>položkách</w:t>
      </w:r>
      <w:r w:rsidR="00E22D77">
        <w:t xml:space="preserve"> s </w:t>
      </w:r>
      <w:r w:rsidRPr="00E22D77">
        <w:t xml:space="preserve">dvojakým použitím sa uplatňujú </w:t>
      </w:r>
      <w:r w:rsidRPr="00E22D77">
        <w:rPr>
          <w:i/>
          <w:iCs/>
        </w:rPr>
        <w:t>mutatis mutandis</w:t>
      </w:r>
      <w:r w:rsidRPr="00E22D77">
        <w:t xml:space="preserve"> na tieto vývozné obmedzenia.</w:t>
      </w:r>
    </w:p>
  </w:footnote>
  <w:footnote w:id="36">
    <w:p w14:paraId="4D23FB3A" w14:textId="7EC2D7D0" w:rsidR="000A37D7" w:rsidRPr="00E22D77" w:rsidRDefault="000A37D7" w:rsidP="00E22D77">
      <w:pPr>
        <w:pStyle w:val="Textpoznmkypodiarou"/>
        <w:spacing w:after="0"/>
        <w:ind w:left="709" w:hanging="709"/>
      </w:pPr>
      <w:r w:rsidRPr="00E22D77">
        <w:rPr>
          <w:rStyle w:val="Odkaznapoznmkupodiarou"/>
        </w:rPr>
        <w:footnoteRef/>
      </w:r>
      <w:r w:rsidRPr="00E22D77">
        <w:tab/>
        <w:t>Spoločné oznámenie Európskemu parlamentu, Európskej rade</w:t>
      </w:r>
      <w:r w:rsidR="00E22D77">
        <w:t xml:space="preserve"> a </w:t>
      </w:r>
      <w:r w:rsidRPr="00E22D77">
        <w:t>Rade</w:t>
      </w:r>
      <w:r w:rsidR="00E22D77">
        <w:t xml:space="preserve"> o </w:t>
      </w:r>
      <w:r w:rsidRPr="00E22D77">
        <w:t>Európskej stratégii hospodárskej bezpečnosti [JOIN(2023) 20 final].</w:t>
      </w:r>
    </w:p>
  </w:footnote>
  <w:footnote w:id="37">
    <w:p w14:paraId="6AC8535E" w14:textId="2C0D45B8" w:rsidR="00965E21" w:rsidRPr="00E22D77" w:rsidRDefault="00965E21" w:rsidP="00E22D77">
      <w:pPr>
        <w:pStyle w:val="Textpoznmkypodiarou"/>
        <w:spacing w:after="0"/>
        <w:ind w:left="709" w:hanging="709"/>
      </w:pPr>
      <w:r w:rsidRPr="00E22D77">
        <w:rPr>
          <w:rStyle w:val="Odkaznapoznmkupodiarou"/>
        </w:rPr>
        <w:footnoteRef/>
      </w:r>
      <w:r w:rsidRPr="00E22D77">
        <w:tab/>
        <w:t>Na rozdiel od vnútroštátnych kontrol vykonávaných členskými štátmi položky uvedené</w:t>
      </w:r>
      <w:r w:rsidR="00E22D77">
        <w:t xml:space="preserve"> v </w:t>
      </w:r>
      <w:r w:rsidRPr="00E22D77">
        <w:t>prílohe I</w:t>
      </w:r>
      <w:r w:rsidR="00E22D77">
        <w:t xml:space="preserve"> k </w:t>
      </w:r>
      <w:r w:rsidRPr="00E22D77">
        <w:t>nariadeniu</w:t>
      </w:r>
      <w:r w:rsidR="00E22D77">
        <w:t xml:space="preserve"> o </w:t>
      </w:r>
      <w:r w:rsidRPr="00E22D77">
        <w:t>položkách</w:t>
      </w:r>
      <w:r w:rsidR="00E22D77">
        <w:t xml:space="preserve"> s </w:t>
      </w:r>
      <w:r w:rsidRPr="00E22D77">
        <w:t>dvojakým použitím jednotne</w:t>
      </w:r>
      <w:r w:rsidR="00E22D77">
        <w:t xml:space="preserve"> a </w:t>
      </w:r>
      <w:r w:rsidRPr="00E22D77">
        <w:t>súčasne kontrolujú všetky členské štáty pri uplatňovaní článku 3 nariadenia</w:t>
      </w:r>
      <w:r w:rsidR="00E22D77">
        <w:t xml:space="preserve"> o </w:t>
      </w:r>
      <w:r w:rsidRPr="00E22D77">
        <w:t>položkách</w:t>
      </w:r>
      <w:r w:rsidR="00E22D77">
        <w:t xml:space="preserve"> s </w:t>
      </w:r>
      <w:r w:rsidRPr="00E22D77">
        <w:t>dvojakým použitím</w:t>
      </w:r>
      <w:r w:rsidR="00E22D77">
        <w:t>.</w:t>
      </w:r>
    </w:p>
  </w:footnote>
  <w:footnote w:id="38">
    <w:p w14:paraId="6C243AAD" w14:textId="2E0C8E7D" w:rsidR="003F776A" w:rsidRPr="00E22D77" w:rsidRDefault="003F776A" w:rsidP="00E22D77">
      <w:pPr>
        <w:pStyle w:val="Textpoznmkypodiarou"/>
        <w:spacing w:after="0"/>
        <w:ind w:left="709" w:hanging="709"/>
        <w:rPr>
          <w:spacing w:val="-4"/>
        </w:rPr>
      </w:pPr>
      <w:r w:rsidRPr="00E22D77">
        <w:rPr>
          <w:rStyle w:val="Odkaznapoznmkupodiarou"/>
        </w:rPr>
        <w:footnoteRef/>
      </w:r>
      <w:r w:rsidRPr="00E22D77">
        <w:tab/>
      </w:r>
      <w:r w:rsidRPr="00E22D77">
        <w:rPr>
          <w:spacing w:val="-4"/>
        </w:rPr>
        <w:t>Záujem Únie by zohľadňoval všetky dostupné informácie</w:t>
      </w:r>
      <w:r w:rsidR="00E22D77" w:rsidRPr="00E22D77">
        <w:rPr>
          <w:spacing w:val="-4"/>
        </w:rPr>
        <w:t xml:space="preserve"> a </w:t>
      </w:r>
      <w:r w:rsidRPr="00E22D77">
        <w:rPr>
          <w:spacing w:val="-4"/>
        </w:rPr>
        <w:t>spočíval</w:t>
      </w:r>
      <w:r w:rsidR="00E22D77" w:rsidRPr="00E22D77">
        <w:rPr>
          <w:spacing w:val="-4"/>
        </w:rPr>
        <w:t xml:space="preserve"> v </w:t>
      </w:r>
      <w:r w:rsidRPr="00E22D77">
        <w:rPr>
          <w:spacing w:val="-4"/>
        </w:rPr>
        <w:t xml:space="preserve">posúdení rôznych dotknutých záujmov ako celku. To by zahŕňalo </w:t>
      </w:r>
      <w:bookmarkStart w:id="41" w:name="_Hlk155950565"/>
      <w:r w:rsidRPr="00E22D77">
        <w:rPr>
          <w:spacing w:val="-4"/>
        </w:rPr>
        <w:t>záujmy hospodárskych subjektov Únie, ako sú dodávateľské</w:t>
      </w:r>
      <w:r w:rsidR="00E22D77" w:rsidRPr="00E22D77">
        <w:rPr>
          <w:spacing w:val="-4"/>
        </w:rPr>
        <w:t xml:space="preserve"> a </w:t>
      </w:r>
      <w:r w:rsidRPr="00E22D77">
        <w:rPr>
          <w:spacing w:val="-4"/>
        </w:rPr>
        <w:t>odberateľské odvetvia</w:t>
      </w:r>
      <w:bookmarkEnd w:id="41"/>
      <w:r w:rsidRPr="00E22D77">
        <w:rPr>
          <w:spacing w:val="-4"/>
        </w:rPr>
        <w:t>, ako aj projekty alebo programy</w:t>
      </w:r>
      <w:r w:rsidR="00E22D77" w:rsidRPr="00E22D77">
        <w:rPr>
          <w:spacing w:val="-4"/>
        </w:rPr>
        <w:t xml:space="preserve"> v </w:t>
      </w:r>
      <w:r w:rsidRPr="00E22D77">
        <w:rPr>
          <w:spacing w:val="-4"/>
        </w:rPr>
        <w:t>záujme Únie</w:t>
      </w:r>
      <w:r w:rsidR="00E22D77" w:rsidRPr="00E22D77">
        <w:rPr>
          <w:spacing w:val="-4"/>
        </w:rPr>
        <w:t xml:space="preserve"> v </w:t>
      </w:r>
      <w:r w:rsidRPr="00E22D77">
        <w:rPr>
          <w:spacing w:val="-4"/>
        </w:rPr>
        <w:t>zmysle nariadenia (EÚ) 2019/452</w:t>
      </w:r>
      <w:r w:rsidR="00E22D77" w:rsidRPr="00E22D77">
        <w:rPr>
          <w:spacing w:val="-4"/>
        </w:rPr>
        <w:t>.</w:t>
      </w:r>
    </w:p>
  </w:footnote>
  <w:footnote w:id="39">
    <w:p w14:paraId="7869B410" w14:textId="788E7EDC" w:rsidR="000A37D7" w:rsidRPr="00E22D77" w:rsidRDefault="000A37D7" w:rsidP="00E22D77">
      <w:pPr>
        <w:pStyle w:val="Textpoznmkypodiarou"/>
        <w:spacing w:after="0"/>
        <w:ind w:left="709" w:hanging="709"/>
      </w:pPr>
      <w:r w:rsidRPr="00E22D77">
        <w:rPr>
          <w:rStyle w:val="Odkaznapoznmkupodiarou"/>
        </w:rPr>
        <w:footnoteRef/>
      </w:r>
      <w:r w:rsidRPr="00E22D77">
        <w:tab/>
        <w:t>Odporúčanie Komisie (EÚ)</w:t>
      </w:r>
      <w:r w:rsidR="00E22D77">
        <w:t xml:space="preserve"> z </w:t>
      </w:r>
      <w:r w:rsidRPr="00E22D77">
        <w:t>3</w:t>
      </w:r>
      <w:r w:rsidR="00E22D77">
        <w:t>. októbra</w:t>
      </w:r>
      <w:r w:rsidRPr="00E22D77">
        <w:t xml:space="preserve"> 2023</w:t>
      </w:r>
      <w:r w:rsidR="00E22D77">
        <w:t xml:space="preserve"> o </w:t>
      </w:r>
      <w:r w:rsidRPr="00E22D77">
        <w:t>kritických technologických oblastiach pre hospodársku bezpečnosť EÚ na ďalšie posúdenie rizík</w:t>
      </w:r>
      <w:r w:rsidR="00E22D77">
        <w:t xml:space="preserve"> s </w:t>
      </w:r>
      <w:r w:rsidRPr="00E22D77">
        <w:t>členskými štátmi [C(2023) 6689 final].</w:t>
      </w:r>
    </w:p>
  </w:footnote>
  <w:footnote w:id="40">
    <w:p w14:paraId="0A2DBB68" w14:textId="5B8C7BA1" w:rsidR="000A37D7" w:rsidRPr="00E22D77" w:rsidRDefault="000A37D7" w:rsidP="00E22D77">
      <w:pPr>
        <w:pStyle w:val="Textpoznmkypodiarou"/>
        <w:spacing w:after="0"/>
        <w:ind w:left="709" w:hanging="709"/>
      </w:pPr>
      <w:r w:rsidRPr="00E22D77">
        <w:rPr>
          <w:rStyle w:val="Odkaznapoznmkupodiarou"/>
        </w:rPr>
        <w:footnoteRef/>
      </w:r>
      <w:r w:rsidRPr="00E22D77">
        <w:tab/>
        <w:t>Je to</w:t>
      </w:r>
      <w:r w:rsidR="00E22D77">
        <w:t xml:space="preserve"> v </w:t>
      </w:r>
      <w:r w:rsidRPr="00E22D77">
        <w:t>súlade</w:t>
      </w:r>
      <w:r w:rsidR="00E22D77">
        <w:t xml:space="preserve"> s </w:t>
      </w:r>
      <w:r w:rsidRPr="00E22D77">
        <w:t>ambíciou členských štátov lepšie kontrolovať vývoz technológií. Pozri napríklad vyhlásenia ministerky pre európske záležitosti Francúzska Laurence Boonovej</w:t>
      </w:r>
      <w:r w:rsidR="00E22D77">
        <w:t xml:space="preserve"> v </w:t>
      </w:r>
      <w:r w:rsidRPr="00E22D77">
        <w:t>príhovore</w:t>
      </w:r>
      <w:r w:rsidR="00E22D77">
        <w:t xml:space="preserve"> v </w:t>
      </w:r>
      <w:r w:rsidRPr="00E22D77">
        <w:t>organizácii Peterson Institute 28</w:t>
      </w:r>
      <w:r w:rsidR="00E22D77">
        <w:t>. marca</w:t>
      </w:r>
      <w:r w:rsidRPr="00E22D77">
        <w:t xml:space="preserve"> 2023,</w:t>
      </w:r>
      <w:r w:rsidR="00E22D77">
        <w:t xml:space="preserve"> v </w:t>
      </w:r>
      <w:r w:rsidRPr="00E22D77">
        <w:t>ktorom vyjadrila potrebu, aby EÚ dokončila svoju doktrínu</w:t>
      </w:r>
      <w:r w:rsidR="00E22D77">
        <w:t xml:space="preserve"> o </w:t>
      </w:r>
      <w:r w:rsidRPr="00E22D77">
        <w:t>tom, ktoré technológie je ochotná vyvážať</w:t>
      </w:r>
      <w:r w:rsidR="00E22D77">
        <w:t xml:space="preserve"> a </w:t>
      </w:r>
      <w:r w:rsidRPr="00E22D77">
        <w:t xml:space="preserve">do ktorých krajín, dostupné na </w:t>
      </w:r>
      <w:hyperlink r:id="rId9" w:history="1">
        <w:r w:rsidRPr="00E22D77">
          <w:rPr>
            <w:rStyle w:val="Hypertextovprepojenie"/>
          </w:rPr>
          <w:t>https://www.piie.com/events/european-approach-economic-statecraft</w:t>
        </w:r>
      </w:hyperlink>
      <w:r w:rsidRPr="00E22D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E54A" w14:textId="77777777" w:rsidR="00F37FB3" w:rsidRPr="00F37FB3" w:rsidRDefault="00F37FB3" w:rsidP="00F37FB3">
    <w:pPr>
      <w:pStyle w:val="HeaderCoverPa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B25B" w14:textId="77777777" w:rsidR="00F37FB3" w:rsidRPr="00F37FB3" w:rsidRDefault="00F37FB3" w:rsidP="00F37FB3">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31AF" w14:textId="77777777" w:rsidR="00F37FB3" w:rsidRPr="00F37FB3" w:rsidRDefault="00F37FB3" w:rsidP="00F37FB3">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ACFC" w14:textId="77777777" w:rsidR="00EA4F23" w:rsidRDefault="00EA4F23">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D6DC" w14:textId="77777777" w:rsidR="00EA4F23" w:rsidRDefault="00EA4F23">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F8D2" w14:textId="77777777" w:rsidR="00EA4F23" w:rsidRDefault="00EA4F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0AD4E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240A0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97193"/>
    <w:multiLevelType w:val="multilevel"/>
    <w:tmpl w:val="98F4424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233FD0"/>
    <w:multiLevelType w:val="hybridMultilevel"/>
    <w:tmpl w:val="A5E6D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8DFDF8"/>
    <w:multiLevelType w:val="multilevel"/>
    <w:tmpl w:val="DC42695A"/>
    <w:lvl w:ilvl="0">
      <w:start w:val="1"/>
      <w:numFmt w:val="bullet"/>
      <w:pStyle w:val="Zoznamsodrkami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2D293CE3"/>
    <w:multiLevelType w:val="multilevel"/>
    <w:tmpl w:val="DC28668A"/>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2D293CF4"/>
    <w:multiLevelType w:val="multilevel"/>
    <w:tmpl w:val="3342DFE6"/>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3A7730C4"/>
    <w:multiLevelType w:val="multilevel"/>
    <w:tmpl w:val="39A496D6"/>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4E1A982C"/>
    <w:multiLevelType w:val="multilevel"/>
    <w:tmpl w:val="FBDA6FD4"/>
    <w:lvl w:ilvl="0">
      <w:start w:val="1"/>
      <w:numFmt w:val="bullet"/>
      <w:pStyle w:val="Zoznamsodrkami"/>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53442F81"/>
    <w:multiLevelType w:val="hybridMultilevel"/>
    <w:tmpl w:val="F4981F9A"/>
    <w:lvl w:ilvl="0" w:tplc="09C04C72">
      <w:start w:val="1"/>
      <w:numFmt w:val="decimal"/>
      <w:lvlText w:val="1.%1"/>
      <w:lvlJc w:val="left"/>
      <w:pPr>
        <w:ind w:left="71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5517EA2"/>
    <w:multiLevelType w:val="hybridMultilevel"/>
    <w:tmpl w:val="AD24E968"/>
    <w:lvl w:ilvl="0" w:tplc="9B00E5A8">
      <w:start w:val="1"/>
      <w:numFmt w:val="decimal"/>
      <w:lvlText w:val="1.1.%1"/>
      <w:lvlJc w:val="left"/>
      <w:pPr>
        <w:ind w:left="71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7210AD2"/>
    <w:multiLevelType w:val="hybridMultilevel"/>
    <w:tmpl w:val="D4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5145E"/>
    <w:multiLevelType w:val="multilevel"/>
    <w:tmpl w:val="BA248092"/>
    <w:lvl w:ilvl="0">
      <w:start w:val="1"/>
      <w:numFmt w:val="decimal"/>
      <w:pStyle w:val="Nadpis1"/>
      <w:lvlText w:val="%1."/>
      <w:lvlJc w:val="left"/>
      <w:pPr>
        <w:tabs>
          <w:tab w:val="num" w:pos="482"/>
        </w:tabs>
        <w:ind w:left="482" w:hanging="482"/>
      </w:pPr>
    </w:lvl>
    <w:lvl w:ilvl="1">
      <w:start w:val="1"/>
      <w:numFmt w:val="decimal"/>
      <w:pStyle w:val="Nadpis2"/>
      <w:lvlText w:val="%1.%2."/>
      <w:lvlJc w:val="left"/>
      <w:pPr>
        <w:tabs>
          <w:tab w:val="num" w:pos="4123"/>
        </w:tabs>
        <w:ind w:left="4123" w:hanging="720"/>
      </w:pPr>
    </w:lvl>
    <w:lvl w:ilvl="2">
      <w:start w:val="1"/>
      <w:numFmt w:val="decimal"/>
      <w:pStyle w:val="Nadpis3"/>
      <w:lvlText w:val="%1.%2.%3."/>
      <w:lvlJc w:val="left"/>
      <w:pPr>
        <w:tabs>
          <w:tab w:val="num" w:pos="1922"/>
        </w:tabs>
        <w:ind w:left="1922" w:hanging="720"/>
      </w:pPr>
    </w:lvl>
    <w:lvl w:ilvl="3">
      <w:start w:val="1"/>
      <w:numFmt w:val="decimal"/>
      <w:pStyle w:val="Nadpis4"/>
      <w:lvlText w:val="%1.%2.%3.%4."/>
      <w:lvlJc w:val="left"/>
      <w:pPr>
        <w:tabs>
          <w:tab w:val="num" w:pos="1922"/>
        </w:tabs>
        <w:ind w:left="1922" w:hanging="720"/>
      </w:pPr>
    </w:lvl>
    <w:lvl w:ilvl="4">
      <w:start w:val="1"/>
      <w:numFmt w:val="decimal"/>
      <w:pStyle w:val="Nadpis5"/>
      <w:lvlText w:val="%1.%2.%3.%4.%5."/>
      <w:lvlJc w:val="left"/>
      <w:pPr>
        <w:tabs>
          <w:tab w:val="num" w:pos="2880"/>
        </w:tabs>
        <w:ind w:left="3838" w:hanging="958"/>
      </w:pPr>
    </w:lvl>
    <w:lvl w:ilvl="5">
      <w:start w:val="1"/>
      <w:numFmt w:val="decimal"/>
      <w:pStyle w:val="Nadpis6"/>
      <w:lvlText w:val="%1.%2.%3.%4.%5.%6."/>
      <w:lvlJc w:val="left"/>
      <w:pPr>
        <w:tabs>
          <w:tab w:val="num" w:pos="2880"/>
        </w:tabs>
        <w:ind w:left="3838" w:hanging="958"/>
      </w:pPr>
    </w:lvl>
    <w:lvl w:ilvl="6">
      <w:start w:val="1"/>
      <w:numFmt w:val="decimal"/>
      <w:pStyle w:val="Nadpis7"/>
      <w:lvlText w:val="%1.%2.%3.%4.%5.%6.%7."/>
      <w:lvlJc w:val="left"/>
      <w:pPr>
        <w:tabs>
          <w:tab w:val="num" w:pos="2880"/>
        </w:tabs>
        <w:ind w:left="3838" w:hanging="958"/>
      </w:pPr>
    </w:lvl>
    <w:lvl w:ilvl="7">
      <w:start w:val="1"/>
      <w:numFmt w:val="decimal"/>
      <w:pStyle w:val="Nadpis8"/>
      <w:lvlText w:val="%1.%2.%3.%4.%5.%6.%7.%8."/>
      <w:lvlJc w:val="left"/>
      <w:pPr>
        <w:tabs>
          <w:tab w:val="num" w:pos="2880"/>
        </w:tabs>
        <w:ind w:left="3838" w:hanging="958"/>
      </w:pPr>
    </w:lvl>
    <w:lvl w:ilvl="8">
      <w:start w:val="1"/>
      <w:numFmt w:val="decimal"/>
      <w:pStyle w:val="Nadpis9"/>
      <w:lvlText w:val="%1.%2.%3.%4.%5.%6.%7.%8.%9."/>
      <w:lvlJc w:val="left"/>
      <w:pPr>
        <w:tabs>
          <w:tab w:val="num" w:pos="2880"/>
        </w:tabs>
        <w:ind w:left="3838" w:hanging="958"/>
      </w:pPr>
    </w:lvl>
  </w:abstractNum>
  <w:abstractNum w:abstractNumId="13" w15:restartNumberingAfterBreak="0">
    <w:nsid w:val="7D724A9C"/>
    <w:multiLevelType w:val="hybridMultilevel"/>
    <w:tmpl w:val="F6106702"/>
    <w:lvl w:ilvl="0" w:tplc="3BC2EC42">
      <w:start w:val="1"/>
      <w:numFmt w:val="bullet"/>
      <w:lvlText w:val=""/>
      <w:lvlJc w:val="left"/>
      <w:pPr>
        <w:ind w:left="720" w:hanging="360"/>
      </w:pPr>
      <w:rPr>
        <w:rFonts w:ascii="Symbol" w:hAnsi="Symbol"/>
      </w:rPr>
    </w:lvl>
    <w:lvl w:ilvl="1" w:tplc="2C588196">
      <w:start w:val="1"/>
      <w:numFmt w:val="bullet"/>
      <w:lvlText w:val=""/>
      <w:lvlJc w:val="left"/>
      <w:pPr>
        <w:ind w:left="720" w:hanging="360"/>
      </w:pPr>
      <w:rPr>
        <w:rFonts w:ascii="Symbol" w:hAnsi="Symbol"/>
      </w:rPr>
    </w:lvl>
    <w:lvl w:ilvl="2" w:tplc="C45A5740">
      <w:start w:val="1"/>
      <w:numFmt w:val="bullet"/>
      <w:lvlText w:val=""/>
      <w:lvlJc w:val="left"/>
      <w:pPr>
        <w:ind w:left="720" w:hanging="360"/>
      </w:pPr>
      <w:rPr>
        <w:rFonts w:ascii="Symbol" w:hAnsi="Symbol"/>
      </w:rPr>
    </w:lvl>
    <w:lvl w:ilvl="3" w:tplc="B1C2077E">
      <w:start w:val="1"/>
      <w:numFmt w:val="bullet"/>
      <w:lvlText w:val=""/>
      <w:lvlJc w:val="left"/>
      <w:pPr>
        <w:ind w:left="720" w:hanging="360"/>
      </w:pPr>
      <w:rPr>
        <w:rFonts w:ascii="Symbol" w:hAnsi="Symbol"/>
      </w:rPr>
    </w:lvl>
    <w:lvl w:ilvl="4" w:tplc="DA5C74CC">
      <w:start w:val="1"/>
      <w:numFmt w:val="bullet"/>
      <w:lvlText w:val=""/>
      <w:lvlJc w:val="left"/>
      <w:pPr>
        <w:ind w:left="720" w:hanging="360"/>
      </w:pPr>
      <w:rPr>
        <w:rFonts w:ascii="Symbol" w:hAnsi="Symbol"/>
      </w:rPr>
    </w:lvl>
    <w:lvl w:ilvl="5" w:tplc="3588F892">
      <w:start w:val="1"/>
      <w:numFmt w:val="bullet"/>
      <w:lvlText w:val=""/>
      <w:lvlJc w:val="left"/>
      <w:pPr>
        <w:ind w:left="720" w:hanging="360"/>
      </w:pPr>
      <w:rPr>
        <w:rFonts w:ascii="Symbol" w:hAnsi="Symbol"/>
      </w:rPr>
    </w:lvl>
    <w:lvl w:ilvl="6" w:tplc="C2DAA2A8">
      <w:start w:val="1"/>
      <w:numFmt w:val="bullet"/>
      <w:lvlText w:val=""/>
      <w:lvlJc w:val="left"/>
      <w:pPr>
        <w:ind w:left="720" w:hanging="360"/>
      </w:pPr>
      <w:rPr>
        <w:rFonts w:ascii="Symbol" w:hAnsi="Symbol"/>
      </w:rPr>
    </w:lvl>
    <w:lvl w:ilvl="7" w:tplc="7F729ED6">
      <w:start w:val="1"/>
      <w:numFmt w:val="bullet"/>
      <w:lvlText w:val=""/>
      <w:lvlJc w:val="left"/>
      <w:pPr>
        <w:ind w:left="720" w:hanging="360"/>
      </w:pPr>
      <w:rPr>
        <w:rFonts w:ascii="Symbol" w:hAnsi="Symbol"/>
      </w:rPr>
    </w:lvl>
    <w:lvl w:ilvl="8" w:tplc="DFE63384">
      <w:start w:val="1"/>
      <w:numFmt w:val="bullet"/>
      <w:lvlText w:val=""/>
      <w:lvlJc w:val="left"/>
      <w:pPr>
        <w:ind w:left="720" w:hanging="360"/>
      </w:pPr>
      <w:rPr>
        <w:rFonts w:ascii="Symbol" w:hAnsi="Symbol"/>
      </w:rPr>
    </w:lvl>
  </w:abstractNum>
  <w:num w:numId="1" w16cid:durableId="248544100">
    <w:abstractNumId w:val="2"/>
  </w:num>
  <w:num w:numId="2" w16cid:durableId="2121872380">
    <w:abstractNumId w:val="9"/>
  </w:num>
  <w:num w:numId="3" w16cid:durableId="486480913">
    <w:abstractNumId w:val="9"/>
    <w:lvlOverride w:ilvl="0">
      <w:startOverride w:val="1"/>
    </w:lvlOverride>
  </w:num>
  <w:num w:numId="4" w16cid:durableId="699209157">
    <w:abstractNumId w:val="10"/>
  </w:num>
  <w:num w:numId="5" w16cid:durableId="305205011">
    <w:abstractNumId w:val="2"/>
    <w:lvlOverride w:ilvl="0">
      <w:startOverride w:val="1"/>
    </w:lvlOverride>
  </w:num>
  <w:num w:numId="6" w16cid:durableId="1265916752">
    <w:abstractNumId w:val="5"/>
  </w:num>
  <w:num w:numId="7" w16cid:durableId="1569801948">
    <w:abstractNumId w:val="5"/>
  </w:num>
  <w:num w:numId="8" w16cid:durableId="1247956579">
    <w:abstractNumId w:val="5"/>
  </w:num>
  <w:num w:numId="9" w16cid:durableId="1233852660">
    <w:abstractNumId w:val="6"/>
  </w:num>
  <w:num w:numId="10" w16cid:durableId="2086295742">
    <w:abstractNumId w:val="6"/>
  </w:num>
  <w:num w:numId="11" w16cid:durableId="1577934553">
    <w:abstractNumId w:val="6"/>
  </w:num>
  <w:num w:numId="12" w16cid:durableId="1819493626">
    <w:abstractNumId w:val="12"/>
  </w:num>
  <w:num w:numId="13" w16cid:durableId="1243954887">
    <w:abstractNumId w:val="12"/>
  </w:num>
  <w:num w:numId="14" w16cid:durableId="2042128024">
    <w:abstractNumId w:val="12"/>
  </w:num>
  <w:num w:numId="15" w16cid:durableId="780221760">
    <w:abstractNumId w:val="12"/>
  </w:num>
  <w:num w:numId="16" w16cid:durableId="1673876775">
    <w:abstractNumId w:val="5"/>
  </w:num>
  <w:num w:numId="17" w16cid:durableId="1221214277">
    <w:abstractNumId w:val="1"/>
  </w:num>
  <w:num w:numId="18" w16cid:durableId="303237125">
    <w:abstractNumId w:val="8"/>
  </w:num>
  <w:num w:numId="19" w16cid:durableId="1650594290">
    <w:abstractNumId w:val="8"/>
  </w:num>
  <w:num w:numId="20" w16cid:durableId="1375691503">
    <w:abstractNumId w:val="8"/>
  </w:num>
  <w:num w:numId="21" w16cid:durableId="1324238210">
    <w:abstractNumId w:val="8"/>
  </w:num>
  <w:num w:numId="22" w16cid:durableId="814495950">
    <w:abstractNumId w:val="7"/>
  </w:num>
  <w:num w:numId="23" w16cid:durableId="1937975519">
    <w:abstractNumId w:val="7"/>
  </w:num>
  <w:num w:numId="24" w16cid:durableId="584723566">
    <w:abstractNumId w:val="7"/>
  </w:num>
  <w:num w:numId="25" w16cid:durableId="613252091">
    <w:abstractNumId w:val="7"/>
  </w:num>
  <w:num w:numId="26" w16cid:durableId="1417939395">
    <w:abstractNumId w:val="0"/>
  </w:num>
  <w:num w:numId="27" w16cid:durableId="1304776560">
    <w:abstractNumId w:val="4"/>
  </w:num>
  <w:num w:numId="28" w16cid:durableId="1122964972">
    <w:abstractNumId w:val="4"/>
  </w:num>
  <w:num w:numId="29" w16cid:durableId="115099185">
    <w:abstractNumId w:val="4"/>
  </w:num>
  <w:num w:numId="30" w16cid:durableId="499001656">
    <w:abstractNumId w:val="4"/>
  </w:num>
  <w:num w:numId="31" w16cid:durableId="747266745">
    <w:abstractNumId w:val="11"/>
  </w:num>
  <w:num w:numId="32" w16cid:durableId="1641298724">
    <w:abstractNumId w:val="3"/>
  </w:num>
  <w:num w:numId="33" w16cid:durableId="575750180">
    <w:abstractNumId w:val="13"/>
  </w:num>
  <w:num w:numId="34" w16cid:durableId="4219487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CORRIGENDUM" w:val="&lt;UNUSED&gt;"/>
    <w:docVar w:name="LW_COVERPAGE_EXISTS" w:val="True"/>
    <w:docVar w:name="LW_COVERPAGE_GUID" w:val="67A7F177-A142-4138-B76B-B71C7908C8E6"/>
    <w:docVar w:name="LW_COVERPAGE_TYPE" w:val="1"/>
    <w:docVar w:name="LW_CROSSREFERENCE" w:val="&lt;UNUSED&gt;"/>
    <w:docVar w:name="LW_DocType" w:val="NORMAL"/>
    <w:docVar w:name="LW_EMISSION" w:val="24. 1. 2024"/>
    <w:docVar w:name="LW_EMISSION_ISODATE" w:val="2024-01-24"/>
    <w:docVar w:name="LW_EMISSION_LOCATION" w:val="BRX"/>
    <w:docVar w:name="LW_EMISSION_PREFIX" w:val="V Bruseli"/>
    <w:docVar w:name="LW_EMISSION_SUFFIX" w:val=" "/>
    <w:docVar w:name="LW_ID_DOCTYPE_NONLW" w:val="CP-020"/>
    <w:docVar w:name="LW_LANGUE" w:val="SK"/>
    <w:docVar w:name="LW_LEVEL_OF_SENSITIVITY" w:val="Standard treatment"/>
    <w:docVar w:name="LW_NOM.INST" w:val="EURÓPSKA KOMISIA"/>
    <w:docVar w:name="LW_NOM.INST_JOINTDOC" w:val="&lt;EMPTY&gt;"/>
    <w:docVar w:name="LW_PART_NBR" w:val="1"/>
    <w:docVar w:name="LW_PART_NBR_TOTAL" w:val="1"/>
    <w:docVar w:name="LW_REF.INST.NEW" w:val="COM"/>
    <w:docVar w:name="LW_REF.INST.NEW_ADOPTED" w:val="final"/>
    <w:docVar w:name="LW_REF.INST.NEW_TEXT" w:val="(2024) 2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 kontrolách vývozu"/>
    <w:docVar w:name="LW_TYPE.DOC.CP" w:val="BIELA KNIHA"/>
    <w:docVar w:name="LwApiVersions" w:val="LW4CoDe 1.24.4.0; LW 9.0, Build 20240125"/>
  </w:docVars>
  <w:rsids>
    <w:rsidRoot w:val="009D64EE"/>
    <w:rsid w:val="000029FE"/>
    <w:rsid w:val="00016100"/>
    <w:rsid w:val="000164BC"/>
    <w:rsid w:val="0002185F"/>
    <w:rsid w:val="000259BB"/>
    <w:rsid w:val="00027801"/>
    <w:rsid w:val="00030C82"/>
    <w:rsid w:val="0003402F"/>
    <w:rsid w:val="0004464B"/>
    <w:rsid w:val="00087B74"/>
    <w:rsid w:val="000A0179"/>
    <w:rsid w:val="000A37D7"/>
    <w:rsid w:val="000A522B"/>
    <w:rsid w:val="000A6A01"/>
    <w:rsid w:val="000A70E3"/>
    <w:rsid w:val="000B1A23"/>
    <w:rsid w:val="000C4B6D"/>
    <w:rsid w:val="000C65F2"/>
    <w:rsid w:val="000D605F"/>
    <w:rsid w:val="000E31E5"/>
    <w:rsid w:val="000F613A"/>
    <w:rsid w:val="00104CCE"/>
    <w:rsid w:val="00104E63"/>
    <w:rsid w:val="00117473"/>
    <w:rsid w:val="00117C64"/>
    <w:rsid w:val="00122A21"/>
    <w:rsid w:val="00125466"/>
    <w:rsid w:val="00136F77"/>
    <w:rsid w:val="0013716A"/>
    <w:rsid w:val="00141111"/>
    <w:rsid w:val="00147BA6"/>
    <w:rsid w:val="001657C9"/>
    <w:rsid w:val="00181BC0"/>
    <w:rsid w:val="00184896"/>
    <w:rsid w:val="00190CA3"/>
    <w:rsid w:val="001A07F0"/>
    <w:rsid w:val="001B64D6"/>
    <w:rsid w:val="001C0658"/>
    <w:rsid w:val="001D2A73"/>
    <w:rsid w:val="001E2557"/>
    <w:rsid w:val="001E2E0A"/>
    <w:rsid w:val="001F0347"/>
    <w:rsid w:val="00201F7B"/>
    <w:rsid w:val="002030C1"/>
    <w:rsid w:val="00206628"/>
    <w:rsid w:val="002141B2"/>
    <w:rsid w:val="0021486E"/>
    <w:rsid w:val="002249AC"/>
    <w:rsid w:val="00232E33"/>
    <w:rsid w:val="00235E3A"/>
    <w:rsid w:val="0023656B"/>
    <w:rsid w:val="00254772"/>
    <w:rsid w:val="0027493D"/>
    <w:rsid w:val="00282CFA"/>
    <w:rsid w:val="00290362"/>
    <w:rsid w:val="002A1AD0"/>
    <w:rsid w:val="002A3E79"/>
    <w:rsid w:val="002A75F3"/>
    <w:rsid w:val="002B3335"/>
    <w:rsid w:val="002C2D9D"/>
    <w:rsid w:val="002C3261"/>
    <w:rsid w:val="002C47BC"/>
    <w:rsid w:val="002D3CC6"/>
    <w:rsid w:val="002D4024"/>
    <w:rsid w:val="002D6231"/>
    <w:rsid w:val="002F27ED"/>
    <w:rsid w:val="00300487"/>
    <w:rsid w:val="00300952"/>
    <w:rsid w:val="003208E8"/>
    <w:rsid w:val="003228A2"/>
    <w:rsid w:val="003267F6"/>
    <w:rsid w:val="00347BFA"/>
    <w:rsid w:val="00354CE6"/>
    <w:rsid w:val="00363361"/>
    <w:rsid w:val="00391296"/>
    <w:rsid w:val="00392DCF"/>
    <w:rsid w:val="00396327"/>
    <w:rsid w:val="003964A7"/>
    <w:rsid w:val="003B2D82"/>
    <w:rsid w:val="003B3E14"/>
    <w:rsid w:val="003C22EA"/>
    <w:rsid w:val="003C5C97"/>
    <w:rsid w:val="003C5D4E"/>
    <w:rsid w:val="003C698E"/>
    <w:rsid w:val="003F05A9"/>
    <w:rsid w:val="003F2746"/>
    <w:rsid w:val="003F776A"/>
    <w:rsid w:val="0040498E"/>
    <w:rsid w:val="0045378C"/>
    <w:rsid w:val="004547F4"/>
    <w:rsid w:val="004564B2"/>
    <w:rsid w:val="004568AA"/>
    <w:rsid w:val="0045697D"/>
    <w:rsid w:val="00460151"/>
    <w:rsid w:val="00467D5C"/>
    <w:rsid w:val="004737CD"/>
    <w:rsid w:val="00475DD1"/>
    <w:rsid w:val="00476426"/>
    <w:rsid w:val="00491DAE"/>
    <w:rsid w:val="00493B29"/>
    <w:rsid w:val="004A48D9"/>
    <w:rsid w:val="004A4C32"/>
    <w:rsid w:val="004A64C9"/>
    <w:rsid w:val="004B0AA1"/>
    <w:rsid w:val="004C143D"/>
    <w:rsid w:val="004C3CEB"/>
    <w:rsid w:val="004D49E0"/>
    <w:rsid w:val="004D5E96"/>
    <w:rsid w:val="004F41BA"/>
    <w:rsid w:val="004F4468"/>
    <w:rsid w:val="004F4EE5"/>
    <w:rsid w:val="00500785"/>
    <w:rsid w:val="00506118"/>
    <w:rsid w:val="00517372"/>
    <w:rsid w:val="0052488A"/>
    <w:rsid w:val="00524CD0"/>
    <w:rsid w:val="00525563"/>
    <w:rsid w:val="00530840"/>
    <w:rsid w:val="00547744"/>
    <w:rsid w:val="00561FFA"/>
    <w:rsid w:val="00563DCE"/>
    <w:rsid w:val="00571BC9"/>
    <w:rsid w:val="00572F27"/>
    <w:rsid w:val="00592449"/>
    <w:rsid w:val="005A1013"/>
    <w:rsid w:val="005A21B5"/>
    <w:rsid w:val="005A56D1"/>
    <w:rsid w:val="005A7385"/>
    <w:rsid w:val="005C1243"/>
    <w:rsid w:val="005D5E5F"/>
    <w:rsid w:val="005E1E47"/>
    <w:rsid w:val="005F56D9"/>
    <w:rsid w:val="00616D7E"/>
    <w:rsid w:val="00624570"/>
    <w:rsid w:val="0064148B"/>
    <w:rsid w:val="00643CD2"/>
    <w:rsid w:val="006463E2"/>
    <w:rsid w:val="00650E0A"/>
    <w:rsid w:val="00656E17"/>
    <w:rsid w:val="006600D5"/>
    <w:rsid w:val="006615B8"/>
    <w:rsid w:val="00662A28"/>
    <w:rsid w:val="00666A47"/>
    <w:rsid w:val="00685FC4"/>
    <w:rsid w:val="00692D50"/>
    <w:rsid w:val="00697E9B"/>
    <w:rsid w:val="006A1BA1"/>
    <w:rsid w:val="006A4BCA"/>
    <w:rsid w:val="006B5D3D"/>
    <w:rsid w:val="006B61A2"/>
    <w:rsid w:val="006D6E5F"/>
    <w:rsid w:val="006D7E22"/>
    <w:rsid w:val="006E7E5F"/>
    <w:rsid w:val="00722188"/>
    <w:rsid w:val="00727AA7"/>
    <w:rsid w:val="00730742"/>
    <w:rsid w:val="007344D8"/>
    <w:rsid w:val="00734C06"/>
    <w:rsid w:val="0075451A"/>
    <w:rsid w:val="0076386E"/>
    <w:rsid w:val="0076593B"/>
    <w:rsid w:val="007704E0"/>
    <w:rsid w:val="00770E17"/>
    <w:rsid w:val="00792CAB"/>
    <w:rsid w:val="00793411"/>
    <w:rsid w:val="00793A8C"/>
    <w:rsid w:val="007C1180"/>
    <w:rsid w:val="007C1AEE"/>
    <w:rsid w:val="007E1E25"/>
    <w:rsid w:val="007E345B"/>
    <w:rsid w:val="007E5432"/>
    <w:rsid w:val="007E7488"/>
    <w:rsid w:val="007F366F"/>
    <w:rsid w:val="007F46EB"/>
    <w:rsid w:val="007F5B43"/>
    <w:rsid w:val="00804088"/>
    <w:rsid w:val="00810A4C"/>
    <w:rsid w:val="00812F4E"/>
    <w:rsid w:val="00816671"/>
    <w:rsid w:val="00821790"/>
    <w:rsid w:val="00824FA8"/>
    <w:rsid w:val="00831CD2"/>
    <w:rsid w:val="008343A7"/>
    <w:rsid w:val="00834FFE"/>
    <w:rsid w:val="00835B9F"/>
    <w:rsid w:val="00836147"/>
    <w:rsid w:val="0083715A"/>
    <w:rsid w:val="0084172F"/>
    <w:rsid w:val="00845FC7"/>
    <w:rsid w:val="00854811"/>
    <w:rsid w:val="008574A9"/>
    <w:rsid w:val="00875480"/>
    <w:rsid w:val="00882B34"/>
    <w:rsid w:val="008912BC"/>
    <w:rsid w:val="00894D14"/>
    <w:rsid w:val="008A2143"/>
    <w:rsid w:val="008A4A2F"/>
    <w:rsid w:val="008C11CB"/>
    <w:rsid w:val="008C1DA4"/>
    <w:rsid w:val="008C2E9A"/>
    <w:rsid w:val="008D1D69"/>
    <w:rsid w:val="008F3CF4"/>
    <w:rsid w:val="008F7AD6"/>
    <w:rsid w:val="009122FC"/>
    <w:rsid w:val="00931E2C"/>
    <w:rsid w:val="0094379D"/>
    <w:rsid w:val="00963C74"/>
    <w:rsid w:val="00965E21"/>
    <w:rsid w:val="0096707A"/>
    <w:rsid w:val="00974893"/>
    <w:rsid w:val="009832B2"/>
    <w:rsid w:val="009912C6"/>
    <w:rsid w:val="00997B18"/>
    <w:rsid w:val="009A08DE"/>
    <w:rsid w:val="009A3902"/>
    <w:rsid w:val="009C26B3"/>
    <w:rsid w:val="009C3B15"/>
    <w:rsid w:val="009D2D78"/>
    <w:rsid w:val="009D64EE"/>
    <w:rsid w:val="009E2847"/>
    <w:rsid w:val="009F5112"/>
    <w:rsid w:val="00A01DE3"/>
    <w:rsid w:val="00A15046"/>
    <w:rsid w:val="00A165E6"/>
    <w:rsid w:val="00A219F7"/>
    <w:rsid w:val="00A36631"/>
    <w:rsid w:val="00A40A76"/>
    <w:rsid w:val="00A54696"/>
    <w:rsid w:val="00A61E54"/>
    <w:rsid w:val="00A63D2E"/>
    <w:rsid w:val="00A70891"/>
    <w:rsid w:val="00A71AE8"/>
    <w:rsid w:val="00A73F8F"/>
    <w:rsid w:val="00A960CA"/>
    <w:rsid w:val="00AB03C1"/>
    <w:rsid w:val="00AC3364"/>
    <w:rsid w:val="00AC6717"/>
    <w:rsid w:val="00AE47C5"/>
    <w:rsid w:val="00AF159F"/>
    <w:rsid w:val="00B00D31"/>
    <w:rsid w:val="00B020A9"/>
    <w:rsid w:val="00B03B76"/>
    <w:rsid w:val="00B102B6"/>
    <w:rsid w:val="00B214E2"/>
    <w:rsid w:val="00B25280"/>
    <w:rsid w:val="00B25E13"/>
    <w:rsid w:val="00B3468E"/>
    <w:rsid w:val="00B41ECE"/>
    <w:rsid w:val="00B67BE0"/>
    <w:rsid w:val="00B80E6D"/>
    <w:rsid w:val="00B835B6"/>
    <w:rsid w:val="00B854C8"/>
    <w:rsid w:val="00B95895"/>
    <w:rsid w:val="00B975FF"/>
    <w:rsid w:val="00BA2F32"/>
    <w:rsid w:val="00BA5D1A"/>
    <w:rsid w:val="00BB05F2"/>
    <w:rsid w:val="00BB14BC"/>
    <w:rsid w:val="00BC0B8C"/>
    <w:rsid w:val="00BD1253"/>
    <w:rsid w:val="00BE0057"/>
    <w:rsid w:val="00BE62C6"/>
    <w:rsid w:val="00BE6F7F"/>
    <w:rsid w:val="00BF120F"/>
    <w:rsid w:val="00BF6D51"/>
    <w:rsid w:val="00C010DE"/>
    <w:rsid w:val="00C016F1"/>
    <w:rsid w:val="00C15B2F"/>
    <w:rsid w:val="00C17AF6"/>
    <w:rsid w:val="00C354D1"/>
    <w:rsid w:val="00C3767D"/>
    <w:rsid w:val="00C51EFB"/>
    <w:rsid w:val="00C56C20"/>
    <w:rsid w:val="00C63856"/>
    <w:rsid w:val="00C74194"/>
    <w:rsid w:val="00C77BC6"/>
    <w:rsid w:val="00C835EF"/>
    <w:rsid w:val="00C8397A"/>
    <w:rsid w:val="00C91C15"/>
    <w:rsid w:val="00CB01B3"/>
    <w:rsid w:val="00CB5684"/>
    <w:rsid w:val="00CC4D29"/>
    <w:rsid w:val="00CC67D1"/>
    <w:rsid w:val="00CF0244"/>
    <w:rsid w:val="00CF03C0"/>
    <w:rsid w:val="00CF1E03"/>
    <w:rsid w:val="00CF4594"/>
    <w:rsid w:val="00D04ADC"/>
    <w:rsid w:val="00D15553"/>
    <w:rsid w:val="00D251EF"/>
    <w:rsid w:val="00D25A5C"/>
    <w:rsid w:val="00D27407"/>
    <w:rsid w:val="00D35261"/>
    <w:rsid w:val="00D3618B"/>
    <w:rsid w:val="00D61638"/>
    <w:rsid w:val="00D631AA"/>
    <w:rsid w:val="00D63E92"/>
    <w:rsid w:val="00D731EB"/>
    <w:rsid w:val="00D812EE"/>
    <w:rsid w:val="00D944B3"/>
    <w:rsid w:val="00DA091D"/>
    <w:rsid w:val="00DA2783"/>
    <w:rsid w:val="00DA3E75"/>
    <w:rsid w:val="00DB42EC"/>
    <w:rsid w:val="00DB751B"/>
    <w:rsid w:val="00DC03F5"/>
    <w:rsid w:val="00DC3649"/>
    <w:rsid w:val="00DD619E"/>
    <w:rsid w:val="00DE00E2"/>
    <w:rsid w:val="00DF2DFD"/>
    <w:rsid w:val="00DF7BF1"/>
    <w:rsid w:val="00E0178C"/>
    <w:rsid w:val="00E069B5"/>
    <w:rsid w:val="00E145DD"/>
    <w:rsid w:val="00E22D77"/>
    <w:rsid w:val="00E24EA8"/>
    <w:rsid w:val="00E309EA"/>
    <w:rsid w:val="00E44630"/>
    <w:rsid w:val="00E452DF"/>
    <w:rsid w:val="00E5100B"/>
    <w:rsid w:val="00E51AA8"/>
    <w:rsid w:val="00E5493B"/>
    <w:rsid w:val="00E55F2F"/>
    <w:rsid w:val="00E61246"/>
    <w:rsid w:val="00E714F3"/>
    <w:rsid w:val="00E72B26"/>
    <w:rsid w:val="00E80B46"/>
    <w:rsid w:val="00E84CBF"/>
    <w:rsid w:val="00E93151"/>
    <w:rsid w:val="00E969B6"/>
    <w:rsid w:val="00EA09BE"/>
    <w:rsid w:val="00EA2924"/>
    <w:rsid w:val="00EA499E"/>
    <w:rsid w:val="00EA4F23"/>
    <w:rsid w:val="00EB1556"/>
    <w:rsid w:val="00EB3C6C"/>
    <w:rsid w:val="00EC53E8"/>
    <w:rsid w:val="00EC766C"/>
    <w:rsid w:val="00ED026E"/>
    <w:rsid w:val="00EE06BD"/>
    <w:rsid w:val="00EE4810"/>
    <w:rsid w:val="00EE51D6"/>
    <w:rsid w:val="00EF1034"/>
    <w:rsid w:val="00EF7A85"/>
    <w:rsid w:val="00F02F9F"/>
    <w:rsid w:val="00F032EB"/>
    <w:rsid w:val="00F069FB"/>
    <w:rsid w:val="00F15523"/>
    <w:rsid w:val="00F157B1"/>
    <w:rsid w:val="00F20549"/>
    <w:rsid w:val="00F33A80"/>
    <w:rsid w:val="00F37FB3"/>
    <w:rsid w:val="00F41C5B"/>
    <w:rsid w:val="00F42CF2"/>
    <w:rsid w:val="00F46EA3"/>
    <w:rsid w:val="00F508BF"/>
    <w:rsid w:val="00F51EA6"/>
    <w:rsid w:val="00F54898"/>
    <w:rsid w:val="00F54BD7"/>
    <w:rsid w:val="00F62B6E"/>
    <w:rsid w:val="00F664F5"/>
    <w:rsid w:val="00F6728A"/>
    <w:rsid w:val="00F67B6A"/>
    <w:rsid w:val="00F70E92"/>
    <w:rsid w:val="00F732DF"/>
    <w:rsid w:val="00F768B7"/>
    <w:rsid w:val="00F82D04"/>
    <w:rsid w:val="00F90993"/>
    <w:rsid w:val="00FA0E7A"/>
    <w:rsid w:val="00FC4524"/>
    <w:rsid w:val="00FD56C8"/>
    <w:rsid w:val="00FE067C"/>
    <w:rsid w:val="00FE1274"/>
    <w:rsid w:val="00FE1E61"/>
    <w:rsid w:val="00FF1EAF"/>
    <w:rsid w:val="00FF6269"/>
    <w:rsid w:val="00FF784A"/>
    <w:rsid w:val="00FF79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8E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0" w:qFormat="1"/>
    <w:lsdException w:name="heading 2" w:semiHidden="1" w:uiPriority="90" w:unhideWhenUsed="1" w:qFormat="1"/>
    <w:lsdException w:name="heading 3" w:semiHidden="1" w:uiPriority="90" w:unhideWhenUsed="1" w:qFormat="1"/>
    <w:lsdException w:name="heading 4" w:semiHidden="1" w:uiPriority="9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2E9A"/>
    <w:pPr>
      <w:jc w:val="both"/>
    </w:pPr>
    <w:rPr>
      <w:rFonts w:ascii="Times New Roman" w:hAnsi="Times New Roman"/>
      <w:sz w:val="24"/>
    </w:rPr>
  </w:style>
  <w:style w:type="paragraph" w:styleId="Nadpis1">
    <w:name w:val="heading 1"/>
    <w:basedOn w:val="Normlny"/>
    <w:next w:val="Normlny"/>
    <w:link w:val="Nadpis1Char"/>
    <w:uiPriority w:val="90"/>
    <w:qFormat/>
    <w:rsid w:val="00A61E54"/>
    <w:pPr>
      <w:keepNext/>
      <w:numPr>
        <w:numId w:val="15"/>
      </w:numPr>
      <w:spacing w:before="240" w:after="240" w:line="240" w:lineRule="auto"/>
      <w:outlineLvl w:val="0"/>
    </w:pPr>
    <w:rPr>
      <w:rFonts w:eastAsia="Times New Roman" w:cs="Times New Roman"/>
      <w:b/>
      <w:smallCaps/>
      <w:szCs w:val="20"/>
      <w:lang w:eastAsia="en-IE"/>
    </w:rPr>
  </w:style>
  <w:style w:type="paragraph" w:styleId="Nadpis2">
    <w:name w:val="heading 2"/>
    <w:basedOn w:val="Normlny"/>
    <w:next w:val="Normlny"/>
    <w:link w:val="Nadpis2Char"/>
    <w:uiPriority w:val="90"/>
    <w:qFormat/>
    <w:rsid w:val="00A61E54"/>
    <w:pPr>
      <w:keepNext/>
      <w:numPr>
        <w:ilvl w:val="1"/>
        <w:numId w:val="15"/>
      </w:numPr>
      <w:tabs>
        <w:tab w:val="clear" w:pos="4123"/>
        <w:tab w:val="num" w:pos="1202"/>
      </w:tabs>
      <w:spacing w:after="240" w:line="240" w:lineRule="auto"/>
      <w:ind w:left="1202"/>
      <w:outlineLvl w:val="1"/>
    </w:pPr>
    <w:rPr>
      <w:rFonts w:eastAsia="Times New Roman" w:cs="Times New Roman"/>
      <w:b/>
      <w:szCs w:val="20"/>
      <w:lang w:eastAsia="en-IE"/>
    </w:rPr>
  </w:style>
  <w:style w:type="paragraph" w:styleId="Nadpis3">
    <w:name w:val="heading 3"/>
    <w:basedOn w:val="Normlny"/>
    <w:next w:val="Normlny"/>
    <w:link w:val="Nadpis3Char"/>
    <w:uiPriority w:val="90"/>
    <w:qFormat/>
    <w:rsid w:val="00A61E54"/>
    <w:pPr>
      <w:keepNext/>
      <w:numPr>
        <w:ilvl w:val="2"/>
        <w:numId w:val="15"/>
      </w:numPr>
      <w:spacing w:after="240" w:line="240" w:lineRule="auto"/>
      <w:outlineLvl w:val="2"/>
    </w:pPr>
    <w:rPr>
      <w:rFonts w:eastAsia="Times New Roman" w:cs="Times New Roman"/>
      <w:i/>
      <w:szCs w:val="20"/>
      <w:lang w:eastAsia="en-IE"/>
    </w:rPr>
  </w:style>
  <w:style w:type="paragraph" w:styleId="Nadpis4">
    <w:name w:val="heading 4"/>
    <w:basedOn w:val="Normlny"/>
    <w:next w:val="Normlny"/>
    <w:link w:val="Nadpis4Char"/>
    <w:uiPriority w:val="90"/>
    <w:qFormat/>
    <w:rsid w:val="00A61E54"/>
    <w:pPr>
      <w:keepNext/>
      <w:numPr>
        <w:ilvl w:val="3"/>
        <w:numId w:val="15"/>
      </w:numPr>
      <w:spacing w:after="240" w:line="240" w:lineRule="auto"/>
      <w:outlineLvl w:val="3"/>
    </w:pPr>
    <w:rPr>
      <w:rFonts w:eastAsia="Times New Roman" w:cs="Times New Roman"/>
      <w:szCs w:val="20"/>
      <w:lang w:eastAsia="en-IE"/>
    </w:rPr>
  </w:style>
  <w:style w:type="paragraph" w:styleId="Nadpis5">
    <w:name w:val="heading 5"/>
    <w:basedOn w:val="Normlny"/>
    <w:next w:val="Normlny"/>
    <w:link w:val="Nadpis5Char"/>
    <w:uiPriority w:val="9"/>
    <w:semiHidden/>
    <w:unhideWhenUsed/>
    <w:rsid w:val="00DA2783"/>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DA2783"/>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DA2783"/>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DA2783"/>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A2783"/>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0"/>
    <w:rsid w:val="00E5493B"/>
    <w:rPr>
      <w:rFonts w:ascii="Times New Roman" w:eastAsia="Times New Roman" w:hAnsi="Times New Roman" w:cs="Times New Roman"/>
      <w:b/>
      <w:smallCaps/>
      <w:sz w:val="24"/>
      <w:szCs w:val="20"/>
      <w:lang w:val="sk-SK" w:eastAsia="en-IE"/>
    </w:rPr>
  </w:style>
  <w:style w:type="paragraph" w:styleId="Bezriadkovania">
    <w:name w:val="No Spacing"/>
    <w:uiPriority w:val="1"/>
    <w:qFormat/>
    <w:rsid w:val="00D61638"/>
    <w:pPr>
      <w:spacing w:after="0" w:line="240" w:lineRule="auto"/>
    </w:pPr>
    <w:rPr>
      <w:rFonts w:ascii="Times New Roman" w:hAnsi="Times New Roman"/>
      <w:sz w:val="24"/>
    </w:rPr>
  </w:style>
  <w:style w:type="character" w:customStyle="1" w:styleId="Nadpis2Char">
    <w:name w:val="Nadpis 2 Char"/>
    <w:basedOn w:val="Predvolenpsmoodseku"/>
    <w:link w:val="Nadpis2"/>
    <w:uiPriority w:val="90"/>
    <w:rsid w:val="00E5493B"/>
    <w:rPr>
      <w:rFonts w:ascii="Times New Roman" w:eastAsia="Times New Roman" w:hAnsi="Times New Roman" w:cs="Times New Roman"/>
      <w:b/>
      <w:sz w:val="24"/>
      <w:szCs w:val="20"/>
      <w:lang w:val="sk-SK" w:eastAsia="en-IE"/>
    </w:rPr>
  </w:style>
  <w:style w:type="character" w:customStyle="1" w:styleId="Nadpis3Char">
    <w:name w:val="Nadpis 3 Char"/>
    <w:basedOn w:val="Predvolenpsmoodseku"/>
    <w:link w:val="Nadpis3"/>
    <w:uiPriority w:val="90"/>
    <w:rsid w:val="00F70E92"/>
    <w:rPr>
      <w:rFonts w:ascii="Times New Roman" w:eastAsia="Times New Roman" w:hAnsi="Times New Roman" w:cs="Times New Roman"/>
      <w:i/>
      <w:sz w:val="24"/>
      <w:szCs w:val="20"/>
      <w:lang w:val="sk-SK" w:eastAsia="en-IE"/>
    </w:rPr>
  </w:style>
  <w:style w:type="paragraph" w:styleId="Nzov">
    <w:name w:val="Title"/>
    <w:basedOn w:val="Normlny"/>
    <w:next w:val="Normlny"/>
    <w:link w:val="NzovChar"/>
    <w:uiPriority w:val="10"/>
    <w:qFormat/>
    <w:rsid w:val="00E5493B"/>
    <w:pPr>
      <w:spacing w:after="0" w:line="240" w:lineRule="auto"/>
      <w:contextualSpacing/>
      <w:jc w:val="center"/>
    </w:pPr>
    <w:rPr>
      <w:rFonts w:eastAsiaTheme="majorEastAsia" w:cstheme="majorBidi"/>
      <w:b/>
      <w:smallCaps/>
      <w:spacing w:val="-10"/>
      <w:kern w:val="28"/>
      <w:sz w:val="32"/>
      <w:szCs w:val="56"/>
    </w:rPr>
  </w:style>
  <w:style w:type="character" w:customStyle="1" w:styleId="NzovChar">
    <w:name w:val="Názov Char"/>
    <w:basedOn w:val="Predvolenpsmoodseku"/>
    <w:link w:val="Nzov"/>
    <w:uiPriority w:val="10"/>
    <w:rsid w:val="00E5493B"/>
    <w:rPr>
      <w:rFonts w:ascii="Times New Roman" w:eastAsiaTheme="majorEastAsia" w:hAnsi="Times New Roman" w:cstheme="majorBidi"/>
      <w:b/>
      <w:smallCaps/>
      <w:spacing w:val="-10"/>
      <w:kern w:val="28"/>
      <w:sz w:val="32"/>
      <w:szCs w:val="56"/>
    </w:rPr>
  </w:style>
  <w:style w:type="paragraph" w:styleId="Podtitul">
    <w:name w:val="Subtitle"/>
    <w:basedOn w:val="Normlny"/>
    <w:next w:val="Normlny"/>
    <w:link w:val="PodtitulChar"/>
    <w:uiPriority w:val="11"/>
    <w:qFormat/>
    <w:rsid w:val="00E5493B"/>
    <w:pPr>
      <w:numPr>
        <w:ilvl w:val="1"/>
      </w:numPr>
      <w:jc w:val="center"/>
    </w:pPr>
    <w:rPr>
      <w:rFonts w:eastAsiaTheme="minorEastAsia"/>
      <w:b/>
      <w:spacing w:val="15"/>
      <w:sz w:val="32"/>
    </w:rPr>
  </w:style>
  <w:style w:type="character" w:customStyle="1" w:styleId="PodtitulChar">
    <w:name w:val="Podtitul Char"/>
    <w:basedOn w:val="Predvolenpsmoodseku"/>
    <w:link w:val="Podtitul"/>
    <w:uiPriority w:val="11"/>
    <w:rsid w:val="00E5493B"/>
    <w:rPr>
      <w:rFonts w:ascii="Times New Roman" w:eastAsiaTheme="minorEastAsia" w:hAnsi="Times New Roman"/>
      <w:b/>
      <w:spacing w:val="15"/>
      <w:sz w:val="32"/>
    </w:rPr>
  </w:style>
  <w:style w:type="paragraph" w:styleId="Hlavikaobsahu">
    <w:name w:val="TOC Heading"/>
    <w:basedOn w:val="Nadpis1"/>
    <w:next w:val="Normlny"/>
    <w:uiPriority w:val="39"/>
    <w:unhideWhenUsed/>
    <w:rsid w:val="00D04ADC"/>
    <w:pPr>
      <w:numPr>
        <w:numId w:val="0"/>
      </w:numPr>
      <w:spacing w:after="0"/>
      <w:outlineLvl w:val="9"/>
    </w:pPr>
    <w:rPr>
      <w:rFonts w:asciiTheme="majorHAnsi" w:hAnsiTheme="majorHAnsi"/>
      <w:b w:val="0"/>
      <w:color w:val="2F5496" w:themeColor="accent1" w:themeShade="BF"/>
      <w:sz w:val="32"/>
    </w:rPr>
  </w:style>
  <w:style w:type="paragraph" w:styleId="Obsah1">
    <w:name w:val="toc 1"/>
    <w:basedOn w:val="Normlny"/>
    <w:next w:val="Normlny"/>
    <w:autoRedefine/>
    <w:uiPriority w:val="39"/>
    <w:unhideWhenUsed/>
    <w:rsid w:val="00E22D77"/>
    <w:pPr>
      <w:tabs>
        <w:tab w:val="left" w:pos="480"/>
        <w:tab w:val="right" w:leader="dot" w:pos="9016"/>
      </w:tabs>
      <w:spacing w:after="100"/>
      <w:jc w:val="left"/>
    </w:pPr>
  </w:style>
  <w:style w:type="paragraph" w:styleId="Obsah2">
    <w:name w:val="toc 2"/>
    <w:basedOn w:val="Normlny"/>
    <w:next w:val="Normlny"/>
    <w:autoRedefine/>
    <w:uiPriority w:val="39"/>
    <w:unhideWhenUsed/>
    <w:rsid w:val="00E22D77"/>
    <w:pPr>
      <w:tabs>
        <w:tab w:val="left" w:pos="880"/>
        <w:tab w:val="right" w:leader="dot" w:pos="9016"/>
      </w:tabs>
      <w:spacing w:after="100"/>
      <w:ind w:left="240"/>
      <w:jc w:val="left"/>
    </w:pPr>
  </w:style>
  <w:style w:type="paragraph" w:styleId="Obsah3">
    <w:name w:val="toc 3"/>
    <w:basedOn w:val="Normlny"/>
    <w:next w:val="Normlny"/>
    <w:autoRedefine/>
    <w:uiPriority w:val="39"/>
    <w:unhideWhenUsed/>
    <w:rsid w:val="00D04ADC"/>
    <w:pPr>
      <w:spacing w:after="100"/>
      <w:ind w:left="480"/>
    </w:pPr>
  </w:style>
  <w:style w:type="character" w:styleId="Hypertextovprepojenie">
    <w:name w:val="Hyperlink"/>
    <w:basedOn w:val="Predvolenpsmoodseku"/>
    <w:uiPriority w:val="99"/>
    <w:unhideWhenUsed/>
    <w:rsid w:val="00D04ADC"/>
    <w:rPr>
      <w:color w:val="0563C1" w:themeColor="hyperlink"/>
      <w:u w:val="single"/>
    </w:rPr>
  </w:style>
  <w:style w:type="character" w:customStyle="1" w:styleId="Nadpis4Char">
    <w:name w:val="Nadpis 4 Char"/>
    <w:basedOn w:val="Predvolenpsmoodseku"/>
    <w:link w:val="Nadpis4"/>
    <w:uiPriority w:val="90"/>
    <w:rsid w:val="00DA2783"/>
    <w:rPr>
      <w:rFonts w:ascii="Times New Roman" w:eastAsia="Times New Roman" w:hAnsi="Times New Roman" w:cs="Times New Roman"/>
      <w:sz w:val="24"/>
      <w:szCs w:val="20"/>
      <w:lang w:val="sk-SK" w:eastAsia="en-IE"/>
    </w:rPr>
  </w:style>
  <w:style w:type="character" w:customStyle="1" w:styleId="Nadpis5Char">
    <w:name w:val="Nadpis 5 Char"/>
    <w:basedOn w:val="Predvolenpsmoodseku"/>
    <w:link w:val="Nadpis5"/>
    <w:uiPriority w:val="9"/>
    <w:semiHidden/>
    <w:rsid w:val="00DA2783"/>
    <w:rPr>
      <w:rFonts w:asciiTheme="majorHAnsi" w:eastAsiaTheme="majorEastAsia" w:hAnsiTheme="majorHAnsi" w:cstheme="majorBidi"/>
      <w:color w:val="2F5496" w:themeColor="accent1" w:themeShade="BF"/>
      <w:sz w:val="24"/>
    </w:rPr>
  </w:style>
  <w:style w:type="character" w:customStyle="1" w:styleId="Nadpis6Char">
    <w:name w:val="Nadpis 6 Char"/>
    <w:basedOn w:val="Predvolenpsmoodseku"/>
    <w:link w:val="Nadpis6"/>
    <w:uiPriority w:val="9"/>
    <w:semiHidden/>
    <w:rsid w:val="00DA2783"/>
    <w:rPr>
      <w:rFonts w:asciiTheme="majorHAnsi" w:eastAsiaTheme="majorEastAsia" w:hAnsiTheme="majorHAnsi" w:cstheme="majorBidi"/>
      <w:color w:val="1F3763" w:themeColor="accent1" w:themeShade="7F"/>
      <w:sz w:val="24"/>
    </w:rPr>
  </w:style>
  <w:style w:type="character" w:customStyle="1" w:styleId="Nadpis7Char">
    <w:name w:val="Nadpis 7 Char"/>
    <w:basedOn w:val="Predvolenpsmoodseku"/>
    <w:link w:val="Nadpis7"/>
    <w:uiPriority w:val="9"/>
    <w:semiHidden/>
    <w:rsid w:val="00DA2783"/>
    <w:rPr>
      <w:rFonts w:asciiTheme="majorHAnsi" w:eastAsiaTheme="majorEastAsia" w:hAnsiTheme="majorHAnsi" w:cstheme="majorBidi"/>
      <w:i/>
      <w:iCs/>
      <w:color w:val="1F3763" w:themeColor="accent1" w:themeShade="7F"/>
      <w:sz w:val="24"/>
    </w:rPr>
  </w:style>
  <w:style w:type="character" w:customStyle="1" w:styleId="Nadpis8Char">
    <w:name w:val="Nadpis 8 Char"/>
    <w:basedOn w:val="Predvolenpsmoodseku"/>
    <w:link w:val="Nadpis8"/>
    <w:uiPriority w:val="9"/>
    <w:semiHidden/>
    <w:rsid w:val="00DA278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DA2783"/>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rsid w:val="00A61E54"/>
    <w:pPr>
      <w:tabs>
        <w:tab w:val="center" w:pos="4150"/>
        <w:tab w:val="right" w:pos="8306"/>
      </w:tabs>
      <w:spacing w:after="0" w:line="240" w:lineRule="auto"/>
    </w:pPr>
    <w:rPr>
      <w:rFonts w:eastAsia="Times New Roman" w:cs="Times New Roman"/>
      <w:szCs w:val="20"/>
      <w:lang w:eastAsia="en-IE"/>
    </w:rPr>
  </w:style>
  <w:style w:type="character" w:customStyle="1" w:styleId="HlavikaChar">
    <w:name w:val="Hlavička Char"/>
    <w:basedOn w:val="Predvolenpsmoodseku"/>
    <w:link w:val="Hlavika"/>
    <w:rsid w:val="00A61E54"/>
    <w:rPr>
      <w:rFonts w:ascii="Times New Roman" w:eastAsia="Times New Roman" w:hAnsi="Times New Roman" w:cs="Times New Roman"/>
      <w:sz w:val="24"/>
      <w:szCs w:val="20"/>
      <w:lang w:val="sk-SK" w:eastAsia="en-IE"/>
    </w:rPr>
  </w:style>
  <w:style w:type="paragraph" w:styleId="Pta">
    <w:name w:val="footer"/>
    <w:basedOn w:val="Normlny"/>
    <w:link w:val="PtaChar"/>
    <w:rsid w:val="00A61E54"/>
    <w:pPr>
      <w:spacing w:after="0" w:line="240" w:lineRule="auto"/>
      <w:ind w:right="-567"/>
    </w:pPr>
    <w:rPr>
      <w:rFonts w:eastAsia="Times New Roman" w:cs="Times New Roman"/>
      <w:sz w:val="16"/>
      <w:szCs w:val="20"/>
      <w:lang w:eastAsia="en-IE"/>
    </w:rPr>
  </w:style>
  <w:style w:type="character" w:customStyle="1" w:styleId="PtaChar">
    <w:name w:val="Päta Char"/>
    <w:basedOn w:val="Predvolenpsmoodseku"/>
    <w:link w:val="Pta"/>
    <w:rsid w:val="008F3CF4"/>
    <w:rPr>
      <w:rFonts w:ascii="Times New Roman" w:eastAsia="Times New Roman" w:hAnsi="Times New Roman" w:cs="Times New Roman"/>
      <w:sz w:val="16"/>
      <w:szCs w:val="20"/>
      <w:lang w:val="sk-SK" w:eastAsia="en-IE"/>
    </w:rPr>
  </w:style>
  <w:style w:type="paragraph" w:customStyle="1" w:styleId="LegalNumPar">
    <w:name w:val="LegalNumPar"/>
    <w:basedOn w:val="Normlny"/>
    <w:uiPriority w:val="90"/>
    <w:qFormat/>
    <w:rsid w:val="00A61E54"/>
    <w:pPr>
      <w:numPr>
        <w:numId w:val="16"/>
      </w:numPr>
      <w:spacing w:after="240" w:line="360" w:lineRule="auto"/>
    </w:pPr>
    <w:rPr>
      <w:rFonts w:eastAsia="Times New Roman" w:cs="Times New Roman"/>
      <w:szCs w:val="20"/>
      <w:lang w:eastAsia="en-IE"/>
    </w:rPr>
  </w:style>
  <w:style w:type="paragraph" w:customStyle="1" w:styleId="LegalNumPar2">
    <w:name w:val="LegalNumPar2"/>
    <w:basedOn w:val="Normlny"/>
    <w:rsid w:val="00A61E54"/>
    <w:pPr>
      <w:numPr>
        <w:ilvl w:val="1"/>
        <w:numId w:val="16"/>
      </w:numPr>
      <w:spacing w:line="360" w:lineRule="auto"/>
    </w:pPr>
  </w:style>
  <w:style w:type="paragraph" w:customStyle="1" w:styleId="LegalNumPar3">
    <w:name w:val="LegalNumPar3"/>
    <w:basedOn w:val="Normlny"/>
    <w:rsid w:val="00A61E54"/>
    <w:pPr>
      <w:numPr>
        <w:ilvl w:val="2"/>
        <w:numId w:val="16"/>
      </w:numPr>
      <w:spacing w:line="360" w:lineRule="auto"/>
    </w:pPr>
  </w:style>
  <w:style w:type="paragraph" w:customStyle="1" w:styleId="ContNum">
    <w:name w:val="ContNum"/>
    <w:basedOn w:val="Normlny"/>
    <w:uiPriority w:val="90"/>
    <w:qFormat/>
    <w:rsid w:val="00A61E54"/>
    <w:pPr>
      <w:numPr>
        <w:numId w:val="11"/>
      </w:numPr>
      <w:spacing w:after="240" w:line="240" w:lineRule="auto"/>
    </w:pPr>
    <w:rPr>
      <w:rFonts w:eastAsia="Times New Roman" w:cs="Times New Roman"/>
      <w:szCs w:val="20"/>
      <w:lang w:eastAsia="en-IE"/>
    </w:rPr>
  </w:style>
  <w:style w:type="paragraph" w:customStyle="1" w:styleId="ContNumLevel2">
    <w:name w:val="ContNum (Level 2)"/>
    <w:basedOn w:val="Normlny"/>
    <w:rsid w:val="00A61E54"/>
    <w:pPr>
      <w:numPr>
        <w:ilvl w:val="1"/>
        <w:numId w:val="11"/>
      </w:numPr>
      <w:spacing w:after="240" w:line="240" w:lineRule="auto"/>
    </w:pPr>
    <w:rPr>
      <w:rFonts w:eastAsia="Times New Roman" w:cs="Times New Roman"/>
      <w:szCs w:val="20"/>
      <w:lang w:eastAsia="en-IE"/>
    </w:rPr>
  </w:style>
  <w:style w:type="paragraph" w:customStyle="1" w:styleId="ContNumLevel3">
    <w:name w:val="ContNum (Level 3)"/>
    <w:basedOn w:val="Normlny"/>
    <w:rsid w:val="00A61E54"/>
    <w:pPr>
      <w:numPr>
        <w:ilvl w:val="2"/>
        <w:numId w:val="11"/>
      </w:numPr>
      <w:spacing w:after="240" w:line="240" w:lineRule="auto"/>
    </w:pPr>
    <w:rPr>
      <w:rFonts w:eastAsia="Times New Roman" w:cs="Times New Roman"/>
      <w:szCs w:val="20"/>
      <w:lang w:eastAsia="en-IE"/>
    </w:rPr>
  </w:style>
  <w:style w:type="paragraph" w:customStyle="1" w:styleId="FooterLine">
    <w:name w:val="Footer Line"/>
    <w:basedOn w:val="Pta"/>
    <w:next w:val="Pta"/>
    <w:uiPriority w:val="99"/>
    <w:rsid w:val="00A61E54"/>
    <w:pPr>
      <w:tabs>
        <w:tab w:val="right" w:pos="8646"/>
      </w:tabs>
      <w:spacing w:before="120" w:line="264" w:lineRule="auto"/>
      <w:ind w:right="0"/>
    </w:pPr>
  </w:style>
  <w:style w:type="paragraph" w:styleId="Textpoznmkypodiarou">
    <w:name w:val="footnote text"/>
    <w:basedOn w:val="Normlny"/>
    <w:link w:val="TextpoznmkypodiarouChar"/>
    <w:semiHidden/>
    <w:rsid w:val="00A61E54"/>
    <w:pPr>
      <w:spacing w:after="120" w:line="240" w:lineRule="auto"/>
      <w:ind w:left="357" w:hanging="357"/>
    </w:pPr>
    <w:rPr>
      <w:rFonts w:eastAsia="Times New Roman" w:cs="Times New Roman"/>
      <w:sz w:val="20"/>
      <w:szCs w:val="20"/>
      <w:lang w:eastAsia="en-IE"/>
    </w:rPr>
  </w:style>
  <w:style w:type="character" w:customStyle="1" w:styleId="TextpoznmkypodiarouChar">
    <w:name w:val="Text poznámky pod čiarou Char"/>
    <w:basedOn w:val="Predvolenpsmoodseku"/>
    <w:link w:val="Textpoznmkypodiarou"/>
    <w:semiHidden/>
    <w:rsid w:val="00A61E54"/>
    <w:rPr>
      <w:rFonts w:ascii="Times New Roman" w:eastAsia="Times New Roman" w:hAnsi="Times New Roman" w:cs="Times New Roman"/>
      <w:sz w:val="20"/>
      <w:szCs w:val="20"/>
      <w:lang w:val="sk-SK" w:eastAsia="en-IE"/>
    </w:rPr>
  </w:style>
  <w:style w:type="paragraph" w:styleId="Zoznamsodrkami">
    <w:name w:val="List Bullet"/>
    <w:basedOn w:val="Normlny"/>
    <w:rsid w:val="00A61E54"/>
    <w:pPr>
      <w:numPr>
        <w:numId w:val="21"/>
      </w:numPr>
      <w:spacing w:after="240" w:line="240" w:lineRule="auto"/>
    </w:pPr>
    <w:rPr>
      <w:rFonts w:eastAsia="Times New Roman" w:cs="Times New Roman"/>
      <w:szCs w:val="20"/>
      <w:lang w:eastAsia="en-IE"/>
    </w:rPr>
  </w:style>
  <w:style w:type="paragraph" w:customStyle="1" w:styleId="ListBulletLevel2">
    <w:name w:val="List Bullet (Level 2)"/>
    <w:basedOn w:val="Normlny"/>
    <w:rsid w:val="00A61E54"/>
    <w:pPr>
      <w:numPr>
        <w:ilvl w:val="1"/>
        <w:numId w:val="21"/>
      </w:numPr>
      <w:spacing w:after="240" w:line="240" w:lineRule="auto"/>
    </w:pPr>
    <w:rPr>
      <w:rFonts w:eastAsia="Times New Roman" w:cs="Times New Roman"/>
      <w:szCs w:val="20"/>
      <w:lang w:eastAsia="en-IE"/>
    </w:rPr>
  </w:style>
  <w:style w:type="paragraph" w:customStyle="1" w:styleId="ListBulletLevel3">
    <w:name w:val="List Bullet (Level 3)"/>
    <w:basedOn w:val="Normlny"/>
    <w:semiHidden/>
    <w:unhideWhenUsed/>
    <w:rsid w:val="00A61E54"/>
    <w:pPr>
      <w:numPr>
        <w:ilvl w:val="2"/>
        <w:numId w:val="21"/>
      </w:numPr>
      <w:spacing w:after="240" w:line="240" w:lineRule="auto"/>
    </w:pPr>
    <w:rPr>
      <w:rFonts w:eastAsia="Times New Roman" w:cs="Times New Roman"/>
      <w:szCs w:val="20"/>
      <w:lang w:eastAsia="en-IE"/>
    </w:rPr>
  </w:style>
  <w:style w:type="paragraph" w:customStyle="1" w:styleId="ListBulletLevel4">
    <w:name w:val="List Bullet (Level 4)"/>
    <w:basedOn w:val="Normlny"/>
    <w:semiHidden/>
    <w:unhideWhenUsed/>
    <w:rsid w:val="00A61E54"/>
    <w:pPr>
      <w:numPr>
        <w:ilvl w:val="3"/>
        <w:numId w:val="21"/>
      </w:numPr>
      <w:spacing w:after="240" w:line="240" w:lineRule="auto"/>
    </w:pPr>
    <w:rPr>
      <w:rFonts w:eastAsia="Times New Roman" w:cs="Times New Roman"/>
      <w:szCs w:val="20"/>
      <w:lang w:eastAsia="en-IE"/>
    </w:rPr>
  </w:style>
  <w:style w:type="paragraph" w:customStyle="1" w:styleId="ListBullet1">
    <w:name w:val="List Bullet 1"/>
    <w:basedOn w:val="Normlny"/>
    <w:rsid w:val="00A61E54"/>
    <w:pPr>
      <w:numPr>
        <w:numId w:val="25"/>
      </w:numPr>
      <w:spacing w:after="240" w:line="240" w:lineRule="auto"/>
    </w:pPr>
    <w:rPr>
      <w:rFonts w:eastAsia="Times New Roman" w:cs="Times New Roman"/>
      <w:szCs w:val="20"/>
      <w:lang w:eastAsia="en-IE"/>
    </w:rPr>
  </w:style>
  <w:style w:type="paragraph" w:customStyle="1" w:styleId="ListBullet1Level2">
    <w:name w:val="List Bullet 1 (Level 2)"/>
    <w:basedOn w:val="Normlny"/>
    <w:rsid w:val="00A61E54"/>
    <w:pPr>
      <w:numPr>
        <w:ilvl w:val="1"/>
        <w:numId w:val="25"/>
      </w:numPr>
      <w:spacing w:after="240" w:line="240" w:lineRule="auto"/>
    </w:pPr>
    <w:rPr>
      <w:rFonts w:eastAsia="Times New Roman" w:cs="Times New Roman"/>
      <w:szCs w:val="20"/>
      <w:lang w:eastAsia="en-IE"/>
    </w:rPr>
  </w:style>
  <w:style w:type="paragraph" w:customStyle="1" w:styleId="ListBullet1Level3">
    <w:name w:val="List Bullet 1 (Level 3)"/>
    <w:basedOn w:val="Normlny"/>
    <w:semiHidden/>
    <w:unhideWhenUsed/>
    <w:rsid w:val="00A61E54"/>
    <w:pPr>
      <w:numPr>
        <w:ilvl w:val="2"/>
        <w:numId w:val="25"/>
      </w:numPr>
      <w:spacing w:after="240" w:line="240" w:lineRule="auto"/>
    </w:pPr>
    <w:rPr>
      <w:rFonts w:eastAsia="Times New Roman" w:cs="Times New Roman"/>
      <w:szCs w:val="20"/>
      <w:lang w:eastAsia="en-IE"/>
    </w:rPr>
  </w:style>
  <w:style w:type="paragraph" w:customStyle="1" w:styleId="ListBullet1Level4">
    <w:name w:val="List Bullet 1 (Level 4)"/>
    <w:basedOn w:val="Normlny"/>
    <w:semiHidden/>
    <w:unhideWhenUsed/>
    <w:rsid w:val="00A61E54"/>
    <w:pPr>
      <w:numPr>
        <w:ilvl w:val="3"/>
        <w:numId w:val="25"/>
      </w:numPr>
      <w:spacing w:after="240" w:line="240" w:lineRule="auto"/>
    </w:pPr>
    <w:rPr>
      <w:rFonts w:eastAsia="Times New Roman" w:cs="Times New Roman"/>
      <w:szCs w:val="20"/>
      <w:lang w:eastAsia="en-IE"/>
    </w:rPr>
  </w:style>
  <w:style w:type="paragraph" w:styleId="Zoznamsodrkami2">
    <w:name w:val="List Bullet 2"/>
    <w:basedOn w:val="Normlny"/>
    <w:rsid w:val="00A61E54"/>
    <w:pPr>
      <w:numPr>
        <w:numId w:val="30"/>
      </w:numPr>
      <w:spacing w:after="240" w:line="240" w:lineRule="auto"/>
    </w:pPr>
    <w:rPr>
      <w:rFonts w:eastAsia="Times New Roman" w:cs="Times New Roman"/>
      <w:szCs w:val="20"/>
      <w:lang w:eastAsia="en-IE"/>
    </w:rPr>
  </w:style>
  <w:style w:type="paragraph" w:customStyle="1" w:styleId="ListBullet2Level2">
    <w:name w:val="List Bullet 2 (Level 2)"/>
    <w:basedOn w:val="Normlny"/>
    <w:rsid w:val="00A61E54"/>
    <w:pPr>
      <w:numPr>
        <w:ilvl w:val="1"/>
        <w:numId w:val="30"/>
      </w:numPr>
      <w:spacing w:after="240" w:line="240" w:lineRule="auto"/>
    </w:pPr>
    <w:rPr>
      <w:rFonts w:eastAsia="Times New Roman" w:cs="Times New Roman"/>
      <w:szCs w:val="20"/>
      <w:lang w:eastAsia="en-IE"/>
    </w:rPr>
  </w:style>
  <w:style w:type="paragraph" w:customStyle="1" w:styleId="ListBullet2Level3">
    <w:name w:val="List Bullet 2 (Level 3)"/>
    <w:basedOn w:val="Normlny"/>
    <w:semiHidden/>
    <w:unhideWhenUsed/>
    <w:rsid w:val="00A61E54"/>
    <w:pPr>
      <w:numPr>
        <w:ilvl w:val="2"/>
        <w:numId w:val="30"/>
      </w:numPr>
      <w:spacing w:after="240" w:line="240" w:lineRule="auto"/>
    </w:pPr>
    <w:rPr>
      <w:rFonts w:eastAsia="Times New Roman" w:cs="Times New Roman"/>
      <w:szCs w:val="20"/>
      <w:lang w:eastAsia="en-IE"/>
    </w:rPr>
  </w:style>
  <w:style w:type="paragraph" w:customStyle="1" w:styleId="ListBullet2Level4">
    <w:name w:val="List Bullet 2 (Level 4)"/>
    <w:basedOn w:val="Normlny"/>
    <w:semiHidden/>
    <w:unhideWhenUsed/>
    <w:rsid w:val="00A61E54"/>
    <w:pPr>
      <w:numPr>
        <w:ilvl w:val="3"/>
        <w:numId w:val="30"/>
      </w:numPr>
      <w:spacing w:after="240" w:line="240" w:lineRule="auto"/>
    </w:pPr>
    <w:rPr>
      <w:rFonts w:eastAsia="Times New Roman" w:cs="Times New Roman"/>
      <w:szCs w:val="20"/>
      <w:lang w:eastAsia="en-IE"/>
    </w:rPr>
  </w:style>
  <w:style w:type="paragraph" w:styleId="Citcia">
    <w:name w:val="Quote"/>
    <w:basedOn w:val="Normlny"/>
    <w:next w:val="Normlny"/>
    <w:link w:val="CitciaChar"/>
    <w:uiPriority w:val="29"/>
    <w:qFormat/>
    <w:rsid w:val="00A61E54"/>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A61E54"/>
    <w:rPr>
      <w:rFonts w:ascii="Times New Roman" w:hAnsi="Times New Roman"/>
      <w:i/>
      <w:iCs/>
      <w:color w:val="404040" w:themeColor="text1" w:themeTint="BF"/>
      <w:sz w:val="24"/>
    </w:rPr>
  </w:style>
  <w:style w:type="character" w:styleId="Jemnodkaz">
    <w:name w:val="Subtle Reference"/>
    <w:basedOn w:val="Predvolenpsmoodseku"/>
    <w:uiPriority w:val="31"/>
    <w:rsid w:val="00A61E54"/>
    <w:rPr>
      <w:smallCaps/>
      <w:color w:val="5A5A5A" w:themeColor="text1" w:themeTint="A5"/>
    </w:rPr>
  </w:style>
  <w:style w:type="character" w:styleId="Vrazn">
    <w:name w:val="Strong"/>
    <w:basedOn w:val="Predvolenpsmoodseku"/>
    <w:uiPriority w:val="22"/>
    <w:rsid w:val="00A61E54"/>
    <w:rPr>
      <w:b/>
      <w:bCs/>
    </w:rPr>
  </w:style>
  <w:style w:type="character" w:styleId="Zvraznenie">
    <w:name w:val="Emphasis"/>
    <w:basedOn w:val="Predvolenpsmoodseku"/>
    <w:uiPriority w:val="20"/>
    <w:rsid w:val="00A61E54"/>
    <w:rPr>
      <w:i/>
      <w:iCs/>
    </w:rPr>
  </w:style>
  <w:style w:type="character" w:styleId="Jemnzvraznenie">
    <w:name w:val="Subtle Emphasis"/>
    <w:basedOn w:val="Predvolenpsmoodseku"/>
    <w:uiPriority w:val="19"/>
    <w:rsid w:val="00A61E54"/>
    <w:rPr>
      <w:i/>
      <w:iCs/>
      <w:color w:val="404040" w:themeColor="text1" w:themeTint="BF"/>
    </w:rPr>
  </w:style>
  <w:style w:type="paragraph" w:styleId="Odsekzoznamu">
    <w:name w:val="List Paragraph"/>
    <w:basedOn w:val="Normlny"/>
    <w:uiPriority w:val="34"/>
    <w:rsid w:val="00A61E54"/>
    <w:pPr>
      <w:ind w:left="720"/>
      <w:contextualSpacing/>
    </w:pPr>
  </w:style>
  <w:style w:type="paragraph" w:styleId="Textkomentra">
    <w:name w:val="annotation text"/>
    <w:basedOn w:val="Normlny"/>
    <w:link w:val="TextkomentraChar"/>
    <w:uiPriority w:val="99"/>
    <w:unhideWhenUsed/>
    <w:rsid w:val="000A37D7"/>
    <w:pPr>
      <w:spacing w:line="240" w:lineRule="auto"/>
    </w:pPr>
    <w:rPr>
      <w:sz w:val="20"/>
      <w:szCs w:val="20"/>
    </w:rPr>
  </w:style>
  <w:style w:type="character" w:customStyle="1" w:styleId="TextkomentraChar">
    <w:name w:val="Text komentára Char"/>
    <w:basedOn w:val="Predvolenpsmoodseku"/>
    <w:link w:val="Textkomentra"/>
    <w:uiPriority w:val="99"/>
    <w:rsid w:val="000A37D7"/>
    <w:rPr>
      <w:rFonts w:ascii="Times New Roman" w:hAnsi="Times New Roman"/>
      <w:sz w:val="20"/>
      <w:szCs w:val="20"/>
      <w:lang w:val="sk-SK"/>
    </w:rPr>
  </w:style>
  <w:style w:type="character" w:styleId="Odkaznapoznmkupodiarou">
    <w:name w:val="footnote reference"/>
    <w:aliases w:val="Footnote Reference Number,Footnote Reference_LVL6,Footnote Reference_LVL61,Footnote Reference_LVL62,Footnote Reference_LVL63,Footnote Reference_LVL64,SUPERS,Footnote Reference Superscript,BVI fnr,Footnote symbol,Footnote"/>
    <w:link w:val="ftrefCharCharCharCharCharCharCharCharChar"/>
    <w:uiPriority w:val="99"/>
    <w:qFormat/>
    <w:rsid w:val="000A37D7"/>
    <w:rPr>
      <w:vertAlign w:val="superscript"/>
    </w:rPr>
  </w:style>
  <w:style w:type="paragraph" w:customStyle="1" w:styleId="FooterCoverPage">
    <w:name w:val="Footer Cover Page"/>
    <w:basedOn w:val="Normlny"/>
    <w:link w:val="FooterCoverPageChar"/>
    <w:rsid w:val="000A37D7"/>
    <w:pPr>
      <w:tabs>
        <w:tab w:val="center" w:pos="4535"/>
        <w:tab w:val="right" w:pos="9071"/>
        <w:tab w:val="right" w:pos="9921"/>
      </w:tabs>
      <w:spacing w:before="360" w:after="0" w:line="240" w:lineRule="auto"/>
      <w:ind w:left="-850" w:right="-850"/>
      <w:jc w:val="left"/>
    </w:pPr>
  </w:style>
  <w:style w:type="character" w:customStyle="1" w:styleId="FooterCoverPageChar">
    <w:name w:val="Footer Cover Page Char"/>
    <w:link w:val="FooterCoverPage"/>
    <w:rsid w:val="000A37D7"/>
    <w:rPr>
      <w:rFonts w:ascii="Times New Roman" w:hAnsi="Times New Roman"/>
      <w:sz w:val="24"/>
    </w:rPr>
  </w:style>
  <w:style w:type="paragraph" w:customStyle="1" w:styleId="HeaderCoverPage">
    <w:name w:val="Header Cover Page"/>
    <w:basedOn w:val="Normlny"/>
    <w:link w:val="HeaderCoverPageChar"/>
    <w:rsid w:val="000A37D7"/>
    <w:pPr>
      <w:tabs>
        <w:tab w:val="center" w:pos="4535"/>
        <w:tab w:val="right" w:pos="9071"/>
      </w:tabs>
      <w:spacing w:after="120" w:line="240" w:lineRule="auto"/>
    </w:pPr>
  </w:style>
  <w:style w:type="character" w:customStyle="1" w:styleId="HeaderCoverPageChar">
    <w:name w:val="Header Cover Page Char"/>
    <w:link w:val="HeaderCoverPage"/>
    <w:rsid w:val="000A37D7"/>
    <w:rPr>
      <w:rFonts w:ascii="Times New Roman" w:hAnsi="Times New Roman"/>
      <w:sz w:val="24"/>
    </w:rPr>
  </w:style>
  <w:style w:type="character" w:styleId="Odkaznakomentr">
    <w:name w:val="annotation reference"/>
    <w:uiPriority w:val="99"/>
    <w:unhideWhenUsed/>
    <w:rsid w:val="000A37D7"/>
    <w:rPr>
      <w:sz w:val="16"/>
      <w:szCs w:val="16"/>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lny"/>
    <w:next w:val="Normlny"/>
    <w:link w:val="Odkaznapoznmkupodiarou"/>
    <w:uiPriority w:val="99"/>
    <w:rsid w:val="000A37D7"/>
    <w:pPr>
      <w:spacing w:before="120" w:line="240" w:lineRule="exact"/>
      <w:jc w:val="left"/>
    </w:pPr>
    <w:rPr>
      <w:rFonts w:asciiTheme="minorHAnsi" w:hAnsiTheme="minorHAnsi"/>
      <w:sz w:val="22"/>
      <w:vertAlign w:val="superscript"/>
    </w:rPr>
  </w:style>
  <w:style w:type="paragraph" w:styleId="Revzia">
    <w:name w:val="Revision"/>
    <w:hidden/>
    <w:uiPriority w:val="99"/>
    <w:semiHidden/>
    <w:rsid w:val="000A37D7"/>
    <w:pPr>
      <w:spacing w:after="0" w:line="240" w:lineRule="auto"/>
    </w:pPr>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2030C1"/>
    <w:rPr>
      <w:b/>
      <w:bCs/>
    </w:rPr>
  </w:style>
  <w:style w:type="character" w:customStyle="1" w:styleId="PredmetkomentraChar">
    <w:name w:val="Predmet komentára Char"/>
    <w:basedOn w:val="TextkomentraChar"/>
    <w:link w:val="Predmetkomentra"/>
    <w:uiPriority w:val="99"/>
    <w:semiHidden/>
    <w:rsid w:val="002030C1"/>
    <w:rPr>
      <w:rFonts w:ascii="Times New Roman" w:hAnsi="Times New Roman"/>
      <w:b/>
      <w:bCs/>
      <w:sz w:val="20"/>
      <w:szCs w:val="20"/>
      <w:lang w:val="sk-SK"/>
    </w:rPr>
  </w:style>
  <w:style w:type="character" w:customStyle="1" w:styleId="UnresolvedMention1">
    <w:name w:val="Unresolved Mention1"/>
    <w:basedOn w:val="Predvolenpsmoodseku"/>
    <w:uiPriority w:val="99"/>
    <w:semiHidden/>
    <w:unhideWhenUsed/>
    <w:rsid w:val="002D3CC6"/>
    <w:rPr>
      <w:color w:val="605E5C"/>
      <w:shd w:val="clear" w:color="auto" w:fill="E1DFDD"/>
    </w:rPr>
  </w:style>
  <w:style w:type="character" w:styleId="PouitHypertextovPrepojenie">
    <w:name w:val="FollowedHyperlink"/>
    <w:basedOn w:val="Predvolenpsmoodseku"/>
    <w:uiPriority w:val="99"/>
    <w:semiHidden/>
    <w:unhideWhenUsed/>
    <w:rsid w:val="009E2847"/>
    <w:rPr>
      <w:color w:val="954F72" w:themeColor="followedHyperlink"/>
      <w:u w:val="single"/>
    </w:rPr>
  </w:style>
  <w:style w:type="character" w:customStyle="1" w:styleId="Marker">
    <w:name w:val="Marker"/>
    <w:basedOn w:val="Predvolenpsmoodseku"/>
    <w:rsid w:val="00EA4F23"/>
    <w:rPr>
      <w:color w:val="0000FF"/>
      <w:shd w:val="clear" w:color="auto" w:fill="auto"/>
    </w:rPr>
  </w:style>
  <w:style w:type="paragraph" w:customStyle="1" w:styleId="Pagedecouverture">
    <w:name w:val="Page de couverture"/>
    <w:basedOn w:val="Normlny"/>
    <w:next w:val="Normlny"/>
    <w:rsid w:val="00EA4F23"/>
    <w:pPr>
      <w:spacing w:after="0" w:line="240" w:lineRule="auto"/>
    </w:pPr>
    <w:rPr>
      <w:rFonts w:cs="Times New Roman"/>
    </w:rPr>
  </w:style>
  <w:style w:type="paragraph" w:customStyle="1" w:styleId="FooterSensitivity">
    <w:name w:val="Footer Sensitivity"/>
    <w:basedOn w:val="Normlny"/>
    <w:link w:val="FooterSensitivityChar"/>
    <w:rsid w:val="00EA4F23"/>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rPr>
  </w:style>
  <w:style w:type="character" w:customStyle="1" w:styleId="FooterSensitivityChar">
    <w:name w:val="Footer Sensitivity Char"/>
    <w:basedOn w:val="Predvolenpsmoodseku"/>
    <w:link w:val="FooterSensitivity"/>
    <w:rsid w:val="00EA4F23"/>
    <w:rPr>
      <w:rFonts w:ascii="Times New Roman" w:hAnsi="Times New Roman"/>
      <w:b/>
      <w:sz w:val="32"/>
    </w:rPr>
  </w:style>
  <w:style w:type="paragraph" w:customStyle="1" w:styleId="HeaderSensitivity">
    <w:name w:val="Header Sensitivity"/>
    <w:basedOn w:val="Normlny"/>
    <w:link w:val="HeaderSensitivityChar"/>
    <w:rsid w:val="00EA4F23"/>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rPr>
  </w:style>
  <w:style w:type="character" w:customStyle="1" w:styleId="HeaderSensitivityChar">
    <w:name w:val="Header Sensitivity Char"/>
    <w:basedOn w:val="Predvolenpsmoodseku"/>
    <w:link w:val="HeaderSensitivity"/>
    <w:rsid w:val="00EA4F23"/>
    <w:rPr>
      <w:rFonts w:ascii="Times New Roman" w:hAnsi="Times New Roman"/>
      <w:b/>
      <w:sz w:val="32"/>
    </w:rPr>
  </w:style>
  <w:style w:type="paragraph" w:customStyle="1" w:styleId="HeaderSensitivityRight">
    <w:name w:val="Header Sensitivity Right"/>
    <w:basedOn w:val="Normlny"/>
    <w:link w:val="HeaderSensitivityRightChar"/>
    <w:rsid w:val="00EA4F23"/>
    <w:pPr>
      <w:spacing w:after="120" w:line="240" w:lineRule="auto"/>
      <w:jc w:val="right"/>
    </w:pPr>
    <w:rPr>
      <w:sz w:val="28"/>
    </w:rPr>
  </w:style>
  <w:style w:type="character" w:customStyle="1" w:styleId="HeaderSensitivityRightChar">
    <w:name w:val="Header Sensitivity Right Char"/>
    <w:basedOn w:val="Predvolenpsmoodseku"/>
    <w:link w:val="HeaderSensitivityRight"/>
    <w:rsid w:val="00EA4F2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603538903">
      <w:bodyDiv w:val="1"/>
      <w:marLeft w:val="0"/>
      <w:marRight w:val="0"/>
      <w:marTop w:val="0"/>
      <w:marBottom w:val="0"/>
      <w:divBdr>
        <w:top w:val="none" w:sz="0" w:space="0" w:color="auto"/>
        <w:left w:val="none" w:sz="0" w:space="0" w:color="auto"/>
        <w:bottom w:val="none" w:sz="0" w:space="0" w:color="auto"/>
        <w:right w:val="none" w:sz="0" w:space="0" w:color="auto"/>
      </w:divBdr>
    </w:div>
    <w:div w:id="621157572">
      <w:bodyDiv w:val="1"/>
      <w:marLeft w:val="0"/>
      <w:marRight w:val="0"/>
      <w:marTop w:val="0"/>
      <w:marBottom w:val="0"/>
      <w:divBdr>
        <w:top w:val="none" w:sz="0" w:space="0" w:color="auto"/>
        <w:left w:val="none" w:sz="0" w:space="0" w:color="auto"/>
        <w:bottom w:val="none" w:sz="0" w:space="0" w:color="auto"/>
        <w:right w:val="none" w:sz="0" w:space="0" w:color="auto"/>
      </w:divBdr>
    </w:div>
    <w:div w:id="890073004">
      <w:bodyDiv w:val="1"/>
      <w:marLeft w:val="0"/>
      <w:marRight w:val="0"/>
      <w:marTop w:val="0"/>
      <w:marBottom w:val="0"/>
      <w:divBdr>
        <w:top w:val="none" w:sz="0" w:space="0" w:color="auto"/>
        <w:left w:val="none" w:sz="0" w:space="0" w:color="auto"/>
        <w:bottom w:val="none" w:sz="0" w:space="0" w:color="auto"/>
        <w:right w:val="none" w:sz="0" w:space="0" w:color="auto"/>
      </w:divBdr>
    </w:div>
    <w:div w:id="926155026">
      <w:bodyDiv w:val="1"/>
      <w:marLeft w:val="0"/>
      <w:marRight w:val="0"/>
      <w:marTop w:val="0"/>
      <w:marBottom w:val="0"/>
      <w:divBdr>
        <w:top w:val="none" w:sz="0" w:space="0" w:color="auto"/>
        <w:left w:val="none" w:sz="0" w:space="0" w:color="auto"/>
        <w:bottom w:val="none" w:sz="0" w:space="0" w:color="auto"/>
        <w:right w:val="none" w:sz="0" w:space="0" w:color="auto"/>
      </w:divBdr>
      <w:divsChild>
        <w:div w:id="608895294">
          <w:marLeft w:val="0"/>
          <w:marRight w:val="0"/>
          <w:marTop w:val="0"/>
          <w:marBottom w:val="0"/>
          <w:divBdr>
            <w:top w:val="none" w:sz="0" w:space="0" w:color="auto"/>
            <w:left w:val="none" w:sz="0" w:space="0" w:color="auto"/>
            <w:bottom w:val="none" w:sz="0" w:space="0" w:color="auto"/>
            <w:right w:val="none" w:sz="0" w:space="0" w:color="auto"/>
          </w:divBdr>
          <w:divsChild>
            <w:div w:id="9467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69986">
      <w:bodyDiv w:val="1"/>
      <w:marLeft w:val="0"/>
      <w:marRight w:val="0"/>
      <w:marTop w:val="0"/>
      <w:marBottom w:val="0"/>
      <w:divBdr>
        <w:top w:val="none" w:sz="0" w:space="0" w:color="auto"/>
        <w:left w:val="none" w:sz="0" w:space="0" w:color="auto"/>
        <w:bottom w:val="none" w:sz="0" w:space="0" w:color="auto"/>
        <w:right w:val="none" w:sz="0" w:space="0" w:color="auto"/>
      </w:divBdr>
    </w:div>
    <w:div w:id="21436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altioneuvosto.fi/hanke?tunnus=UM008:00/2019" TargetMode="External"/><Relationship Id="rId3" Type="http://schemas.openxmlformats.org/officeDocument/2006/relationships/hyperlink" Target="https://www.meti.go.jp/policy/anpo/law09-2.html" TargetMode="External"/><Relationship Id="rId7" Type="http://schemas.openxmlformats.org/officeDocument/2006/relationships/hyperlink" Target="https://e-seimas.lrs.lt/portal/legalAct/lt/TAD/0f49a4e0857011ee9ee3e4a7f62b7a26?positionInSearchResults=2&amp;searchModelUUID=e121fc54-2c6c-4133-b8f0-26af9214c826" TargetMode="External"/><Relationship Id="rId2" Type="http://schemas.openxmlformats.org/officeDocument/2006/relationships/hyperlink" Target="https://www.bis.doc.gov/index.php/documents/about-bis/newsroom/press-releases/3355-2023-10-17-bis-press-release-acs-and-sme-rules-final-js/file" TargetMode="External"/><Relationship Id="rId1" Type="http://schemas.openxmlformats.org/officeDocument/2006/relationships/hyperlink" Target="https://trade.ec.europa.eu/doclib/docs/2021/september/tradoc_159790.pdf" TargetMode="External"/><Relationship Id="rId6" Type="http://schemas.openxmlformats.org/officeDocument/2006/relationships/hyperlink" Target="https://e-seimas.lrs.lt/portal/legalAct/lt/TAD/e136d18116b211eea9b3de7dd350a34e?positionInSearchResults=6&amp;searchModelUUID=f43633e4-8d0d-4761-b5f5-adb027d53453" TargetMode="External"/><Relationship Id="rId5" Type="http://schemas.openxmlformats.org/officeDocument/2006/relationships/hyperlink" Target="https://www.boe.es/boe/dias/2023/05/31/pdfs/BOE-A-2023-12785.pdf" TargetMode="External"/><Relationship Id="rId4" Type="http://schemas.openxmlformats.org/officeDocument/2006/relationships/hyperlink" Target="https://open.overheid.nl/documenten/oep-7b25ba07017fbcc4a9d285cc013849f6516f03bd/pdf" TargetMode="External"/><Relationship Id="rId9" Type="http://schemas.openxmlformats.org/officeDocument/2006/relationships/hyperlink" Target="https://www.piie.com/events/european-approach-economic-statec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ED752-C9FA-4A7D-9DEB-9771E067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5143</Words>
  <Characters>29317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2024-03-13T12:11:00Z</dcterms:created>
  <dcterms:modified xsi:type="dcterms:W3CDTF">2024-03-13T12:11:00Z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ast edited using">
    <vt:lpwstr>LW 9.0, Build 20230317</vt:lpwstr>
  </property>
  <property fmtid="{D5CDD505-2E9C-101B-9397-08002B2CF9AE}" pid="4" name="MSIP_Label_6bd9ddd1-4d20-43f6-abfa-fc3c07406f94_Enabled">
    <vt:lpwstr>true</vt:lpwstr>
  </property>
  <property fmtid="{D5CDD505-2E9C-101B-9397-08002B2CF9AE}" pid="5" name="MSIP_Label_6bd9ddd1-4d20-43f6-abfa-fc3c07406f94_SetDate">
    <vt:lpwstr>2024-01-21T17:09:59Z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590cc5d4-eae4-4628-9b8f-8e05d885c38c</vt:lpwstr>
  </property>
  <property fmtid="{D5CDD505-2E9C-101B-9397-08002B2CF9AE}" pid="10" name="MSIP_Label_6bd9ddd1-4d20-43f6-abfa-fc3c07406f94_ContentBits">
    <vt:lpwstr>0</vt:lpwstr>
  </property>
  <property fmtid="{D5CDD505-2E9C-101B-9397-08002B2CF9AE}" pid="11" name="Level of sensitivity">
    <vt:lpwstr>Standard treatment</vt:lpwstr>
  </property>
  <property fmtid="{D5CDD505-2E9C-101B-9397-08002B2CF9AE}" pid="12" name="Part">
    <vt:lpwstr>1</vt:lpwstr>
  </property>
  <property fmtid="{D5CDD505-2E9C-101B-9397-08002B2CF9AE}" pid="13" name="Total parts">
    <vt:lpwstr>1</vt:lpwstr>
  </property>
  <property fmtid="{D5CDD505-2E9C-101B-9397-08002B2CF9AE}" pid="14" name="CPTemplateID">
    <vt:lpwstr>CP-020</vt:lpwstr>
  </property>
</Properties>
</file>